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2C13" w14:textId="77777777" w:rsidR="00323C91" w:rsidRPr="00323C91" w:rsidRDefault="00323C91" w:rsidP="00323C91">
      <w:pPr>
        <w:spacing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Voter Registration and Participation Resolution</w:t>
      </w:r>
    </w:p>
    <w:p w14:paraId="2389BCC1"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i/>
          <w:iCs/>
          <w:color w:val="155965"/>
          <w:sz w:val="23"/>
          <w:szCs w:val="23"/>
        </w:rPr>
        <w:t>Call for the Minnesota Public Health Association (MPHA) to support policy and advocacy efforts to increase voter registration and voting participation, which leads to healthier communities.</w:t>
      </w:r>
    </w:p>
    <w:p w14:paraId="761B0882"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MPHA Members approved by electronic vote on September 22, 2022</w:t>
      </w:r>
    </w:p>
    <w:p w14:paraId="06225F9D"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 </w:t>
      </w:r>
    </w:p>
    <w:p w14:paraId="6FBAAB3A"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proofErr w:type="gramStart"/>
      <w:r w:rsidRPr="00323C91">
        <w:rPr>
          <w:rFonts w:ascii="Arial" w:eastAsia="Times New Roman" w:hAnsi="Arial" w:cs="Arial"/>
          <w:color w:val="155965"/>
          <w:sz w:val="23"/>
          <w:szCs w:val="23"/>
        </w:rPr>
        <w:t>Whereas,</w:t>
      </w:r>
      <w:proofErr w:type="gramEnd"/>
      <w:r w:rsidRPr="00323C91">
        <w:rPr>
          <w:rFonts w:ascii="Arial" w:eastAsia="Times New Roman" w:hAnsi="Arial" w:cs="Arial"/>
          <w:color w:val="155965"/>
          <w:sz w:val="23"/>
          <w:szCs w:val="23"/>
        </w:rPr>
        <w:t xml:space="preserve"> the Robert Wood Johnson Foundation’s</w:t>
      </w:r>
      <w:r w:rsidRPr="00323C91">
        <w:rPr>
          <w:rFonts w:ascii="Arial" w:eastAsia="Times New Roman" w:hAnsi="Arial" w:cs="Arial"/>
          <w:color w:val="155965"/>
          <w:sz w:val="27"/>
          <w:szCs w:val="27"/>
        </w:rPr>
        <w:t> </w:t>
      </w:r>
      <w:r w:rsidRPr="00323C91">
        <w:rPr>
          <w:rFonts w:ascii="Arial" w:eastAsia="Times New Roman" w:hAnsi="Arial" w:cs="Arial"/>
          <w:i/>
          <w:iCs/>
          <w:color w:val="155965"/>
          <w:sz w:val="23"/>
          <w:szCs w:val="23"/>
        </w:rPr>
        <w:t>Culture of Health</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action framework and the American Public Health Association Healing Through Policy Initiative have identified voting participation and voting rights protection as important measures of health and racial equity</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vertAlign w:val="superscript"/>
        </w:rPr>
        <w:t>1,2</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and</w:t>
      </w:r>
    </w:p>
    <w:p w14:paraId="6747BBD1"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Whereas, high levels of community engagement help people recognize their own agency and ensure they are connected with each other, which improves neighborhood cohesion, health outcomes, and community resilience</w:t>
      </w:r>
      <w:r w:rsidRPr="00323C91">
        <w:rPr>
          <w:rFonts w:ascii="Arial" w:eastAsia="Times New Roman" w:hAnsi="Arial" w:cs="Arial"/>
          <w:color w:val="155965"/>
          <w:sz w:val="23"/>
          <w:szCs w:val="23"/>
          <w:vertAlign w:val="superscript"/>
        </w:rPr>
        <w:t>3</w:t>
      </w:r>
      <w:r w:rsidRPr="00323C91">
        <w:rPr>
          <w:rFonts w:ascii="Arial" w:eastAsia="Times New Roman" w:hAnsi="Arial" w:cs="Arial"/>
          <w:color w:val="155965"/>
          <w:sz w:val="23"/>
          <w:szCs w:val="23"/>
        </w:rPr>
        <w:t>; and people who value community health are more likely to translate those values into civic engagement; which includes involvement in civic organizations, participation in advocacy and voting, and other actions to change laws or policies, bring about systemic change and produce healthy communities</w:t>
      </w:r>
      <w:r w:rsidRPr="00323C91">
        <w:rPr>
          <w:rFonts w:ascii="Arial" w:eastAsia="Times New Roman" w:hAnsi="Arial" w:cs="Arial"/>
          <w:color w:val="155965"/>
          <w:sz w:val="23"/>
          <w:szCs w:val="23"/>
          <w:vertAlign w:val="superscript"/>
        </w:rPr>
        <w:t>3</w:t>
      </w:r>
      <w:r w:rsidRPr="00323C91">
        <w:rPr>
          <w:rFonts w:ascii="Arial" w:eastAsia="Times New Roman" w:hAnsi="Arial" w:cs="Arial"/>
          <w:color w:val="155965"/>
          <w:sz w:val="23"/>
          <w:szCs w:val="23"/>
        </w:rPr>
        <w:t>; and</w:t>
      </w:r>
    </w:p>
    <w:p w14:paraId="45FD228F"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Whereas, a positive relationship exists between civic engagement and physical and mental health, health behaviors, and well-being</w:t>
      </w:r>
      <w:r w:rsidRPr="00323C91">
        <w:rPr>
          <w:rFonts w:ascii="Arial" w:eastAsia="Times New Roman" w:hAnsi="Arial" w:cs="Arial"/>
          <w:color w:val="155965"/>
          <w:sz w:val="23"/>
          <w:szCs w:val="23"/>
          <w:vertAlign w:val="superscript"/>
        </w:rPr>
        <w:t>3,</w:t>
      </w:r>
      <w:proofErr w:type="gramStart"/>
      <w:r w:rsidRPr="00323C91">
        <w:rPr>
          <w:rFonts w:ascii="Arial" w:eastAsia="Times New Roman" w:hAnsi="Arial" w:cs="Arial"/>
          <w:color w:val="155965"/>
          <w:sz w:val="23"/>
          <w:szCs w:val="23"/>
          <w:vertAlign w:val="superscript"/>
        </w:rPr>
        <w:t>4</w:t>
      </w:r>
      <w:r w:rsidRPr="00323C91">
        <w:rPr>
          <w:rFonts w:ascii="Arial" w:eastAsia="Times New Roman" w:hAnsi="Arial" w:cs="Arial"/>
          <w:color w:val="155965"/>
          <w:sz w:val="23"/>
          <w:szCs w:val="23"/>
        </w:rPr>
        <w:t>;</w:t>
      </w:r>
      <w:proofErr w:type="gramEnd"/>
      <w:r w:rsidRPr="00323C91">
        <w:rPr>
          <w:rFonts w:ascii="Arial" w:eastAsia="Times New Roman" w:hAnsi="Arial" w:cs="Arial"/>
          <w:color w:val="155965"/>
          <w:sz w:val="23"/>
          <w:szCs w:val="23"/>
        </w:rPr>
        <w:t xml:space="preserve"> while social isolation, marginalization, lack of trust in institutions, poor health, and the burden of chronic disease result in lower voting participation rates and less civic engagement. This creates a reinforcing feedback loop where people who have good health participate more, reinforcing their good health, and people with poor health participate less, reinforcing their poor health.</w:t>
      </w:r>
      <w:r w:rsidRPr="00323C91">
        <w:rPr>
          <w:rFonts w:ascii="Arial" w:eastAsia="Times New Roman" w:hAnsi="Arial" w:cs="Arial"/>
          <w:color w:val="155965"/>
          <w:sz w:val="23"/>
          <w:szCs w:val="23"/>
          <w:vertAlign w:val="superscript"/>
        </w:rPr>
        <w:t>3,4,</w:t>
      </w:r>
      <w:proofErr w:type="gramStart"/>
      <w:r w:rsidRPr="00323C91">
        <w:rPr>
          <w:rFonts w:ascii="Arial" w:eastAsia="Times New Roman" w:hAnsi="Arial" w:cs="Arial"/>
          <w:color w:val="155965"/>
          <w:sz w:val="23"/>
          <w:szCs w:val="23"/>
          <w:vertAlign w:val="superscript"/>
        </w:rPr>
        <w:t>5</w:t>
      </w:r>
      <w:r w:rsidRPr="00323C91">
        <w:rPr>
          <w:rFonts w:ascii="Arial" w:eastAsia="Times New Roman" w:hAnsi="Arial" w:cs="Arial"/>
          <w:color w:val="155965"/>
          <w:sz w:val="23"/>
          <w:szCs w:val="23"/>
        </w:rPr>
        <w:t>;and</w:t>
      </w:r>
      <w:proofErr w:type="gramEnd"/>
      <w:r w:rsidRPr="00323C91">
        <w:rPr>
          <w:rFonts w:ascii="Arial" w:eastAsia="Times New Roman" w:hAnsi="Arial" w:cs="Arial"/>
          <w:color w:val="155965"/>
          <w:sz w:val="23"/>
          <w:szCs w:val="23"/>
        </w:rPr>
        <w:t xml:space="preserve"> conversely, participation in voting is more likely among those who enjoy good health</w:t>
      </w:r>
      <w:r w:rsidRPr="00323C91">
        <w:rPr>
          <w:rFonts w:ascii="Arial" w:eastAsia="Times New Roman" w:hAnsi="Arial" w:cs="Arial"/>
          <w:color w:val="155965"/>
          <w:sz w:val="23"/>
          <w:szCs w:val="23"/>
          <w:vertAlign w:val="superscript"/>
        </w:rPr>
        <w:t>6</w:t>
      </w:r>
      <w:r w:rsidRPr="00323C91">
        <w:rPr>
          <w:rFonts w:ascii="Arial" w:eastAsia="Times New Roman" w:hAnsi="Arial" w:cs="Arial"/>
          <w:color w:val="155965"/>
          <w:sz w:val="23"/>
          <w:szCs w:val="23"/>
        </w:rPr>
        <w:t>; and</w:t>
      </w:r>
      <w:r w:rsidRPr="00323C91">
        <w:rPr>
          <w:rFonts w:ascii="Ubuntu" w:eastAsia="Times New Roman" w:hAnsi="Ubuntu" w:cs="Times New Roman"/>
          <w:color w:val="155965"/>
          <w:sz w:val="27"/>
          <w:szCs w:val="27"/>
        </w:rPr>
        <w:t> </w:t>
      </w:r>
    </w:p>
    <w:p w14:paraId="1B23956D"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proofErr w:type="gramStart"/>
      <w:r w:rsidRPr="00323C91">
        <w:rPr>
          <w:rFonts w:ascii="Arial" w:eastAsia="Times New Roman" w:hAnsi="Arial" w:cs="Arial"/>
          <w:color w:val="155965"/>
          <w:sz w:val="23"/>
          <w:szCs w:val="23"/>
        </w:rPr>
        <w:t>Whereas,</w:t>
      </w:r>
      <w:proofErr w:type="gramEnd"/>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a study of 44 countries, including the United States, found that voter participation is associated with better self-reported health, even after controlling for individual and country characteristics</w:t>
      </w:r>
      <w:r w:rsidRPr="00323C91">
        <w:rPr>
          <w:rFonts w:ascii="Arial" w:eastAsia="Times New Roman" w:hAnsi="Arial" w:cs="Arial"/>
          <w:color w:val="155965"/>
          <w:sz w:val="23"/>
          <w:szCs w:val="23"/>
          <w:vertAlign w:val="superscript"/>
        </w:rPr>
        <w:t>,7</w:t>
      </w:r>
      <w:r w:rsidRPr="00323C91">
        <w:rPr>
          <w:rFonts w:ascii="Arial" w:eastAsia="Times New Roman" w:hAnsi="Arial" w:cs="Arial"/>
          <w:color w:val="155965"/>
          <w:sz w:val="23"/>
          <w:szCs w:val="23"/>
        </w:rPr>
        <w:t>;</w:t>
      </w:r>
      <w:r w:rsidRPr="00323C91">
        <w:rPr>
          <w:rFonts w:ascii="Ubuntu" w:eastAsia="Times New Roman" w:hAnsi="Ubuntu" w:cs="Times New Roman"/>
          <w:color w:val="155965"/>
          <w:sz w:val="27"/>
          <w:szCs w:val="27"/>
        </w:rPr>
        <w:t> </w:t>
      </w:r>
    </w:p>
    <w:p w14:paraId="3F284965"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 xml:space="preserve">Whereas, regardless of political party, a plurality of likely voters </w:t>
      </w:r>
      <w:proofErr w:type="gramStart"/>
      <w:r w:rsidRPr="00323C91">
        <w:rPr>
          <w:rFonts w:ascii="Arial" w:eastAsia="Times New Roman" w:hAnsi="Arial" w:cs="Arial"/>
          <w:color w:val="155965"/>
          <w:sz w:val="23"/>
          <w:szCs w:val="23"/>
        </w:rPr>
        <w:t>consider</w:t>
      </w:r>
      <w:proofErr w:type="gramEnd"/>
      <w:r w:rsidRPr="00323C91">
        <w:rPr>
          <w:rFonts w:ascii="Arial" w:eastAsia="Times New Roman" w:hAnsi="Arial" w:cs="Arial"/>
          <w:color w:val="155965"/>
          <w:sz w:val="23"/>
          <w:szCs w:val="23"/>
        </w:rPr>
        <w:t xml:space="preserve"> health care issues extremely important, with voters’ values, beliefs, and concerns about issues such as health care costs, insurance coverage, and benefits influencing both candidates’ campaigns and legislators’ votes; and policy issues about health and health care influencing a majority of voters’ choices when voting for candidates</w:t>
      </w:r>
      <w:r w:rsidRPr="00323C91">
        <w:rPr>
          <w:rFonts w:ascii="Arial" w:eastAsia="Times New Roman" w:hAnsi="Arial" w:cs="Arial"/>
          <w:color w:val="155965"/>
          <w:sz w:val="23"/>
          <w:szCs w:val="23"/>
          <w:vertAlign w:val="superscript"/>
        </w:rPr>
        <w:t>8</w:t>
      </w:r>
      <w:r w:rsidRPr="00323C91">
        <w:rPr>
          <w:rFonts w:ascii="Arial" w:eastAsia="Times New Roman" w:hAnsi="Arial" w:cs="Arial"/>
          <w:color w:val="155965"/>
          <w:sz w:val="23"/>
          <w:szCs w:val="23"/>
        </w:rPr>
        <w:t>, and ballot initiatives</w:t>
      </w:r>
      <w:r w:rsidRPr="00323C91">
        <w:rPr>
          <w:rFonts w:ascii="Arial" w:eastAsia="Times New Roman" w:hAnsi="Arial" w:cs="Arial"/>
          <w:color w:val="155965"/>
          <w:sz w:val="23"/>
          <w:szCs w:val="23"/>
          <w:vertAlign w:val="superscript"/>
        </w:rPr>
        <w:t>3</w:t>
      </w:r>
      <w:r w:rsidRPr="00323C91">
        <w:rPr>
          <w:rFonts w:ascii="Arial" w:eastAsia="Times New Roman" w:hAnsi="Arial" w:cs="Arial"/>
          <w:color w:val="155965"/>
          <w:sz w:val="23"/>
          <w:szCs w:val="23"/>
        </w:rPr>
        <w:t>; and</w:t>
      </w:r>
    </w:p>
    <w:p w14:paraId="07947685"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Whereas, public health can be politicized, such as the compromising of public safety during the COVID-19 pandemic by state legislators enacting partisan measures that limit the power of governors, local elections officials, and the authority of public health officials in at least 26 states</w:t>
      </w:r>
      <w:r w:rsidRPr="00323C91">
        <w:rPr>
          <w:rFonts w:ascii="Arial" w:eastAsia="Times New Roman" w:hAnsi="Arial" w:cs="Arial"/>
          <w:color w:val="155965"/>
          <w:sz w:val="23"/>
          <w:szCs w:val="23"/>
          <w:vertAlign w:val="superscript"/>
        </w:rPr>
        <w:t>9</w:t>
      </w:r>
      <w:r w:rsidRPr="00323C91">
        <w:rPr>
          <w:rFonts w:ascii="Arial" w:eastAsia="Times New Roman" w:hAnsi="Arial" w:cs="Arial"/>
          <w:color w:val="155965"/>
          <w:sz w:val="23"/>
          <w:szCs w:val="23"/>
        </w:rPr>
        <w:t>; and</w:t>
      </w:r>
    </w:p>
    <w:p w14:paraId="65938316"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proofErr w:type="gramStart"/>
      <w:r w:rsidRPr="00323C91">
        <w:rPr>
          <w:rFonts w:ascii="Arial" w:eastAsia="Times New Roman" w:hAnsi="Arial" w:cs="Arial"/>
          <w:color w:val="155965"/>
          <w:sz w:val="23"/>
          <w:szCs w:val="23"/>
        </w:rPr>
        <w:lastRenderedPageBreak/>
        <w:t>Whereas,</w:t>
      </w:r>
      <w:proofErr w:type="gramEnd"/>
      <w:r w:rsidRPr="00323C91">
        <w:rPr>
          <w:rFonts w:ascii="Arial" w:eastAsia="Times New Roman" w:hAnsi="Arial" w:cs="Arial"/>
          <w:color w:val="155965"/>
          <w:sz w:val="23"/>
          <w:szCs w:val="23"/>
        </w:rPr>
        <w:t xml:space="preserve"> public health considerations should be the guiding factor in health policy decisions, individual legislators within political systems craft legislation that affects population health, opening the possibility for political ideologies and partisan agendas to influence essentially apolitical public health interventions or guidelines 10</w:t>
      </w:r>
      <w:r w:rsidRPr="00323C91">
        <w:rPr>
          <w:rFonts w:ascii="Arial" w:eastAsia="Times New Roman" w:hAnsi="Arial" w:cs="Arial"/>
          <w:color w:val="155965"/>
          <w:sz w:val="23"/>
          <w:szCs w:val="23"/>
          <w:vertAlign w:val="superscript"/>
        </w:rPr>
        <w:t>,11,12</w:t>
      </w:r>
      <w:r w:rsidRPr="00323C91">
        <w:rPr>
          <w:rFonts w:ascii="Arial" w:eastAsia="Times New Roman" w:hAnsi="Arial" w:cs="Arial"/>
          <w:color w:val="155965"/>
          <w:sz w:val="23"/>
          <w:szCs w:val="23"/>
        </w:rPr>
        <w:t>; and</w:t>
      </w:r>
    </w:p>
    <w:p w14:paraId="6718DABA"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 xml:space="preserve">Whereas, public policies can affect voter participation, such as increased voter turnout associated with increased Medicaid enrollment </w:t>
      </w:r>
      <w:proofErr w:type="gramStart"/>
      <w:r w:rsidRPr="00323C91">
        <w:rPr>
          <w:rFonts w:ascii="Arial" w:eastAsia="Times New Roman" w:hAnsi="Arial" w:cs="Arial"/>
          <w:color w:val="155965"/>
          <w:sz w:val="23"/>
          <w:szCs w:val="23"/>
        </w:rPr>
        <w:t>as a result of</w:t>
      </w:r>
      <w:proofErr w:type="gramEnd"/>
      <w:r w:rsidRPr="00323C91">
        <w:rPr>
          <w:rFonts w:ascii="Arial" w:eastAsia="Times New Roman" w:hAnsi="Arial" w:cs="Arial"/>
          <w:color w:val="155965"/>
          <w:sz w:val="23"/>
          <w:szCs w:val="23"/>
        </w:rPr>
        <w:t xml:space="preserve"> the Affordable Care Act’s Medicaid expansion</w:t>
      </w:r>
      <w:r w:rsidRPr="00323C91">
        <w:rPr>
          <w:rFonts w:ascii="Arial" w:eastAsia="Times New Roman" w:hAnsi="Arial" w:cs="Arial"/>
          <w:color w:val="155965"/>
          <w:sz w:val="23"/>
          <w:szCs w:val="23"/>
          <w:vertAlign w:val="superscript"/>
        </w:rPr>
        <w:t>13</w:t>
      </w:r>
      <w:r w:rsidRPr="00323C91">
        <w:rPr>
          <w:rFonts w:ascii="Arial" w:eastAsia="Times New Roman" w:hAnsi="Arial" w:cs="Arial"/>
          <w:color w:val="155965"/>
          <w:sz w:val="23"/>
          <w:szCs w:val="23"/>
        </w:rPr>
        <w:t>; and </w:t>
      </w:r>
    </w:p>
    <w:p w14:paraId="3F8BF573"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Whereas, because of the COVID-19 pandemic, primaries were postponed, election laws were changed, and emergency powers were invoked in dozens of states to give election administrators more time and resources to conduct elections safely, yet high levels of civic engagement continue to be threatened by the ongoing COVID-19 pandemic and an increase in legislation and policies restricting access</w:t>
      </w:r>
      <w:r w:rsidRPr="00323C91">
        <w:rPr>
          <w:rFonts w:ascii="Arial" w:eastAsia="Times New Roman" w:hAnsi="Arial" w:cs="Arial"/>
          <w:color w:val="155965"/>
          <w:sz w:val="23"/>
          <w:szCs w:val="23"/>
          <w:vertAlign w:val="superscript"/>
        </w:rPr>
        <w:t>14</w:t>
      </w:r>
      <w:r w:rsidRPr="00323C91">
        <w:rPr>
          <w:rFonts w:ascii="Arial" w:eastAsia="Times New Roman" w:hAnsi="Arial" w:cs="Arial"/>
          <w:color w:val="155965"/>
          <w:sz w:val="23"/>
          <w:szCs w:val="23"/>
        </w:rPr>
        <w:t>; and</w:t>
      </w:r>
    </w:p>
    <w:p w14:paraId="77541B7C"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proofErr w:type="gramStart"/>
      <w:r w:rsidRPr="00323C91">
        <w:rPr>
          <w:rFonts w:ascii="Arial" w:eastAsia="Times New Roman" w:hAnsi="Arial" w:cs="Arial"/>
          <w:color w:val="155965"/>
          <w:sz w:val="23"/>
          <w:szCs w:val="23"/>
        </w:rPr>
        <w:t>Whereas,</w:t>
      </w:r>
      <w:proofErr w:type="gramEnd"/>
      <w:r w:rsidRPr="00323C91">
        <w:rPr>
          <w:rFonts w:ascii="Arial" w:eastAsia="Times New Roman" w:hAnsi="Arial" w:cs="Arial"/>
          <w:color w:val="155965"/>
          <w:sz w:val="23"/>
          <w:szCs w:val="23"/>
        </w:rPr>
        <w:t xml:space="preserve"> people experience barriers to registering to vote and casting a ballot for many reasons, including many that intersect with barriers to receive healthcare. These reasons include the lack of identification documents</w:t>
      </w:r>
      <w:r w:rsidRPr="00323C91">
        <w:rPr>
          <w:rFonts w:ascii="Arial" w:eastAsia="Times New Roman" w:hAnsi="Arial" w:cs="Arial"/>
          <w:color w:val="155965"/>
          <w:sz w:val="23"/>
          <w:szCs w:val="23"/>
          <w:vertAlign w:val="superscript"/>
        </w:rPr>
        <w:t>15</w:t>
      </w:r>
      <w:r w:rsidRPr="00323C91">
        <w:rPr>
          <w:rFonts w:ascii="Arial" w:eastAsia="Times New Roman" w:hAnsi="Arial" w:cs="Arial"/>
          <w:color w:val="155965"/>
          <w:sz w:val="23"/>
          <w:szCs w:val="23"/>
        </w:rPr>
        <w:t>, frequent changes in home address</w:t>
      </w:r>
      <w:r w:rsidRPr="00323C91">
        <w:rPr>
          <w:rFonts w:ascii="Arial" w:eastAsia="Times New Roman" w:hAnsi="Arial" w:cs="Arial"/>
          <w:color w:val="155965"/>
          <w:sz w:val="23"/>
          <w:szCs w:val="23"/>
          <w:vertAlign w:val="superscript"/>
        </w:rPr>
        <w:t>16</w:t>
      </w:r>
      <w:r w:rsidRPr="00323C91">
        <w:rPr>
          <w:rFonts w:ascii="Arial" w:eastAsia="Times New Roman" w:hAnsi="Arial" w:cs="Arial"/>
          <w:color w:val="155965"/>
          <w:sz w:val="23"/>
          <w:szCs w:val="23"/>
        </w:rPr>
        <w:t>, limited English proficiency</w:t>
      </w:r>
      <w:r w:rsidRPr="00323C91">
        <w:rPr>
          <w:rFonts w:ascii="Arial" w:eastAsia="Times New Roman" w:hAnsi="Arial" w:cs="Arial"/>
          <w:color w:val="155965"/>
          <w:sz w:val="23"/>
          <w:szCs w:val="23"/>
          <w:vertAlign w:val="superscript"/>
        </w:rPr>
        <w:t>17</w:t>
      </w:r>
      <w:r w:rsidRPr="00323C91">
        <w:rPr>
          <w:rFonts w:ascii="Arial" w:eastAsia="Times New Roman" w:hAnsi="Arial" w:cs="Arial"/>
          <w:color w:val="155965"/>
          <w:sz w:val="23"/>
          <w:szCs w:val="23"/>
        </w:rPr>
        <w:t>, misconceptions about the rights of people with disabilities to vote and issues of accessibility</w:t>
      </w:r>
      <w:r w:rsidRPr="00323C91">
        <w:rPr>
          <w:rFonts w:ascii="Arial" w:eastAsia="Times New Roman" w:hAnsi="Arial" w:cs="Arial"/>
          <w:color w:val="155965"/>
          <w:sz w:val="27"/>
          <w:szCs w:val="27"/>
        </w:rPr>
        <w:t> </w:t>
      </w:r>
      <w:proofErr w:type="gramStart"/>
      <w:r w:rsidRPr="00323C91">
        <w:rPr>
          <w:rFonts w:ascii="Arial" w:eastAsia="Times New Roman" w:hAnsi="Arial" w:cs="Arial"/>
          <w:color w:val="155965"/>
          <w:sz w:val="23"/>
          <w:szCs w:val="23"/>
          <w:vertAlign w:val="superscript"/>
        </w:rPr>
        <w:t>18</w:t>
      </w:r>
      <w:r w:rsidRPr="00323C91">
        <w:rPr>
          <w:rFonts w:ascii="Arial" w:eastAsia="Times New Roman" w:hAnsi="Arial" w:cs="Arial"/>
          <w:color w:val="155965"/>
          <w:sz w:val="23"/>
          <w:szCs w:val="23"/>
        </w:rPr>
        <w:t>,a</w:t>
      </w:r>
      <w:proofErr w:type="gramEnd"/>
      <w:r w:rsidRPr="00323C91">
        <w:rPr>
          <w:rFonts w:ascii="Arial" w:eastAsia="Times New Roman" w:hAnsi="Arial" w:cs="Arial"/>
          <w:color w:val="155965"/>
          <w:sz w:val="23"/>
          <w:szCs w:val="23"/>
        </w:rPr>
        <w:t xml:space="preserve"> combination of poor health and low income</w:t>
      </w:r>
      <w:r w:rsidRPr="00323C91">
        <w:rPr>
          <w:rFonts w:ascii="Arial" w:eastAsia="Times New Roman" w:hAnsi="Arial" w:cs="Arial"/>
          <w:color w:val="155965"/>
          <w:sz w:val="23"/>
          <w:szCs w:val="23"/>
          <w:vertAlign w:val="superscript"/>
        </w:rPr>
        <w:t>19</w:t>
      </w:r>
      <w:r w:rsidRPr="00323C91">
        <w:rPr>
          <w:rFonts w:ascii="Arial" w:eastAsia="Times New Roman" w:hAnsi="Arial" w:cs="Arial"/>
          <w:color w:val="155965"/>
          <w:sz w:val="23"/>
          <w:szCs w:val="23"/>
        </w:rPr>
        <w:t>, and voter registration office closures due to emergencies like COVID-19</w:t>
      </w:r>
      <w:r w:rsidRPr="00323C91">
        <w:rPr>
          <w:rFonts w:ascii="Arial" w:eastAsia="Times New Roman" w:hAnsi="Arial" w:cs="Arial"/>
          <w:color w:val="155965"/>
          <w:sz w:val="23"/>
          <w:szCs w:val="23"/>
          <w:vertAlign w:val="superscript"/>
        </w:rPr>
        <w:t>20</w:t>
      </w:r>
      <w:r w:rsidRPr="00323C91">
        <w:rPr>
          <w:rFonts w:ascii="Arial" w:eastAsia="Times New Roman" w:hAnsi="Arial" w:cs="Arial"/>
          <w:color w:val="155965"/>
          <w:sz w:val="23"/>
          <w:szCs w:val="23"/>
        </w:rPr>
        <w:t>; and </w:t>
      </w:r>
    </w:p>
    <w:p w14:paraId="70AF54A9"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proofErr w:type="gramStart"/>
      <w:r w:rsidRPr="00323C91">
        <w:rPr>
          <w:rFonts w:ascii="Arial" w:eastAsia="Times New Roman" w:hAnsi="Arial" w:cs="Arial"/>
          <w:color w:val="155965"/>
          <w:sz w:val="23"/>
          <w:szCs w:val="23"/>
        </w:rPr>
        <w:t>Whereas,</w:t>
      </w:r>
      <w:proofErr w:type="gramEnd"/>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voters of color and American Indians and Alaska Natives face heightened barriers when it comes to voting and participating in our democracy.</w:t>
      </w:r>
      <w:r w:rsidRPr="00323C91">
        <w:rPr>
          <w:rFonts w:ascii="Arial" w:eastAsia="Times New Roman" w:hAnsi="Arial" w:cs="Arial"/>
          <w:color w:val="155965"/>
          <w:sz w:val="23"/>
          <w:szCs w:val="23"/>
          <w:vertAlign w:val="superscript"/>
        </w:rPr>
        <w:t>21</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Voters of color are more likely to experience longer polling lines, are disproportionately burdened by stringent voter identification laws, and have fewer polling locations per capita than their white counterparts. American Indian voters also face unique barriers to voting by mail on reservations</w:t>
      </w:r>
      <w:r w:rsidRPr="00323C91">
        <w:rPr>
          <w:rFonts w:ascii="Arial" w:eastAsia="Times New Roman" w:hAnsi="Arial" w:cs="Arial"/>
          <w:color w:val="155965"/>
          <w:sz w:val="23"/>
          <w:szCs w:val="23"/>
          <w:vertAlign w:val="superscript"/>
        </w:rPr>
        <w:t>22</w:t>
      </w:r>
      <w:r w:rsidRPr="00323C91">
        <w:rPr>
          <w:rFonts w:ascii="Arial" w:eastAsia="Times New Roman" w:hAnsi="Arial" w:cs="Arial"/>
          <w:color w:val="155965"/>
          <w:sz w:val="23"/>
          <w:szCs w:val="23"/>
        </w:rPr>
        <w:t>; and</w:t>
      </w:r>
    </w:p>
    <w:p w14:paraId="114FD7E6"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proofErr w:type="gramStart"/>
      <w:r w:rsidRPr="00323C91">
        <w:rPr>
          <w:rFonts w:ascii="Arial" w:eastAsia="Times New Roman" w:hAnsi="Arial" w:cs="Arial"/>
          <w:color w:val="155965"/>
          <w:sz w:val="23"/>
          <w:szCs w:val="23"/>
        </w:rPr>
        <w:t>Whereas,</w:t>
      </w:r>
      <w:proofErr w:type="gramEnd"/>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the Cost of Voting Index ranks Minnesota #15 among the states on accessibility to voting, and in 2020 83% of those eligible to register to vote did register, and 80% of those registered cast a ballot</w:t>
      </w:r>
      <w:r w:rsidRPr="00323C91">
        <w:rPr>
          <w:rFonts w:ascii="Arial" w:eastAsia="Times New Roman" w:hAnsi="Arial" w:cs="Arial"/>
          <w:color w:val="155965"/>
          <w:sz w:val="23"/>
          <w:szCs w:val="23"/>
          <w:vertAlign w:val="superscript"/>
        </w:rPr>
        <w:t>23</w:t>
      </w:r>
      <w:r w:rsidRPr="00323C91">
        <w:rPr>
          <w:rFonts w:ascii="Arial" w:eastAsia="Times New Roman" w:hAnsi="Arial" w:cs="Arial"/>
          <w:color w:val="155965"/>
          <w:sz w:val="23"/>
          <w:szCs w:val="23"/>
        </w:rPr>
        <w:t>; and </w:t>
      </w:r>
      <w:r w:rsidRPr="00323C91">
        <w:rPr>
          <w:rFonts w:ascii="Ubuntu" w:eastAsia="Times New Roman" w:hAnsi="Ubuntu" w:cs="Times New Roman"/>
          <w:color w:val="155965"/>
          <w:sz w:val="27"/>
          <w:szCs w:val="27"/>
        </w:rPr>
        <w:t> </w:t>
      </w:r>
    </w:p>
    <w:p w14:paraId="3F1A59D0"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Whereas,</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Minnesota Statute 201.162 requires that state agencies, as well as community-based public agencies and non-profit corporations that contract with a state agency to carry out obligations of the state agency, shall provide voter registration services for employees and the public</w:t>
      </w:r>
      <w:r w:rsidRPr="00323C91">
        <w:rPr>
          <w:rFonts w:ascii="Arial" w:eastAsia="Times New Roman" w:hAnsi="Arial" w:cs="Arial"/>
          <w:color w:val="155965"/>
          <w:sz w:val="23"/>
          <w:szCs w:val="23"/>
          <w:vertAlign w:val="superscript"/>
        </w:rPr>
        <w:t>24</w:t>
      </w:r>
      <w:r w:rsidRPr="00323C91">
        <w:rPr>
          <w:rFonts w:ascii="Arial" w:eastAsia="Times New Roman" w:hAnsi="Arial" w:cs="Arial"/>
          <w:color w:val="155965"/>
          <w:sz w:val="23"/>
          <w:szCs w:val="23"/>
        </w:rPr>
        <w:t>; and  </w:t>
      </w:r>
    </w:p>
    <w:p w14:paraId="70F4506F"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proofErr w:type="gramStart"/>
      <w:r w:rsidRPr="00323C91">
        <w:rPr>
          <w:rFonts w:ascii="Arial" w:eastAsia="Times New Roman" w:hAnsi="Arial" w:cs="Arial"/>
          <w:color w:val="155965"/>
          <w:sz w:val="23"/>
          <w:szCs w:val="23"/>
        </w:rPr>
        <w:t>Whereas,</w:t>
      </w:r>
      <w:proofErr w:type="gramEnd"/>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disparities exist with a negative correlation between those enrolled in Medicaid and voter registration. Currently, 13 states have laws that allow Medicaid-based registration which combats these disparities</w:t>
      </w:r>
      <w:r w:rsidRPr="00323C91">
        <w:rPr>
          <w:rFonts w:ascii="Arial" w:eastAsia="Times New Roman" w:hAnsi="Arial" w:cs="Arial"/>
          <w:color w:val="155965"/>
          <w:sz w:val="27"/>
          <w:szCs w:val="27"/>
        </w:rPr>
        <w:t> </w:t>
      </w:r>
      <w:proofErr w:type="gramStart"/>
      <w:r w:rsidRPr="00323C91">
        <w:rPr>
          <w:rFonts w:ascii="Arial" w:eastAsia="Times New Roman" w:hAnsi="Arial" w:cs="Arial"/>
          <w:color w:val="155965"/>
          <w:sz w:val="23"/>
          <w:szCs w:val="23"/>
          <w:vertAlign w:val="superscript"/>
        </w:rPr>
        <w:t>25</w:t>
      </w:r>
      <w:r w:rsidRPr="00323C91">
        <w:rPr>
          <w:rFonts w:ascii="Arial" w:eastAsia="Times New Roman" w:hAnsi="Arial" w:cs="Arial"/>
          <w:color w:val="155965"/>
          <w:sz w:val="23"/>
          <w:szCs w:val="23"/>
        </w:rPr>
        <w:t>;</w:t>
      </w:r>
      <w:proofErr w:type="gramEnd"/>
    </w:p>
    <w:p w14:paraId="67BEA44A"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lastRenderedPageBreak/>
        <w:t>Whereas,</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 xml:space="preserve">civic participation and voter registration were included as measurable objectives with the Social Determinants of Health - Healthy People 2020 and voting metrics were initially omitted from the Healthy People </w:t>
      </w:r>
      <w:proofErr w:type="gramStart"/>
      <w:r w:rsidRPr="00323C91">
        <w:rPr>
          <w:rFonts w:ascii="Arial" w:eastAsia="Times New Roman" w:hAnsi="Arial" w:cs="Arial"/>
          <w:color w:val="155965"/>
          <w:sz w:val="23"/>
          <w:szCs w:val="23"/>
        </w:rPr>
        <w:t>2030</w:t>
      </w:r>
      <w:r w:rsidRPr="00323C91">
        <w:rPr>
          <w:rFonts w:ascii="Arial" w:eastAsia="Times New Roman" w:hAnsi="Arial" w:cs="Arial"/>
          <w:color w:val="155965"/>
          <w:sz w:val="23"/>
          <w:szCs w:val="23"/>
          <w:vertAlign w:val="superscript"/>
        </w:rPr>
        <w:t>26,,</w:t>
      </w:r>
      <w:proofErr w:type="gramEnd"/>
      <w:r w:rsidRPr="00323C91">
        <w:rPr>
          <w:rFonts w:ascii="Arial" w:eastAsia="Times New Roman" w:hAnsi="Arial" w:cs="Arial"/>
          <w:color w:val="155965"/>
          <w:sz w:val="23"/>
          <w:szCs w:val="23"/>
          <w:vertAlign w:val="superscript"/>
        </w:rPr>
        <w:t>27</w:t>
      </w:r>
      <w:r w:rsidRPr="00323C91">
        <w:rPr>
          <w:rFonts w:ascii="Arial" w:eastAsia="Times New Roman" w:hAnsi="Arial" w:cs="Arial"/>
          <w:color w:val="155965"/>
          <w:sz w:val="23"/>
          <w:szCs w:val="23"/>
        </w:rPr>
        <w:t>; and</w:t>
      </w:r>
    </w:p>
    <w:p w14:paraId="17B18F5D"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proofErr w:type="gramStart"/>
      <w:r w:rsidRPr="00323C91">
        <w:rPr>
          <w:rFonts w:ascii="Arial" w:eastAsia="Times New Roman" w:hAnsi="Arial" w:cs="Arial"/>
          <w:color w:val="155965"/>
          <w:sz w:val="23"/>
          <w:szCs w:val="23"/>
        </w:rPr>
        <w:t>Whereas,</w:t>
      </w:r>
      <w:proofErr w:type="gramEnd"/>
      <w:r w:rsidRPr="00323C91">
        <w:rPr>
          <w:rFonts w:ascii="Arial" w:eastAsia="Times New Roman" w:hAnsi="Arial" w:cs="Arial"/>
          <w:color w:val="155965"/>
          <w:sz w:val="23"/>
          <w:szCs w:val="23"/>
        </w:rPr>
        <w:t xml:space="preserve"> an easier transition in the development of a voting habit, and an interest in politics more broadly, happens through the presence of resources</w:t>
      </w:r>
      <w:r w:rsidRPr="00323C91">
        <w:rPr>
          <w:rFonts w:ascii="Arial" w:eastAsia="Times New Roman" w:hAnsi="Arial" w:cs="Arial"/>
          <w:color w:val="155965"/>
          <w:sz w:val="23"/>
          <w:szCs w:val="23"/>
          <w:vertAlign w:val="superscript"/>
        </w:rPr>
        <w:t>5</w:t>
      </w:r>
      <w:r w:rsidRPr="00323C91">
        <w:rPr>
          <w:rFonts w:ascii="Arial" w:eastAsia="Times New Roman" w:hAnsi="Arial" w:cs="Arial"/>
          <w:color w:val="155965"/>
          <w:sz w:val="23"/>
          <w:szCs w:val="23"/>
        </w:rPr>
        <w:t>; and</w:t>
      </w:r>
    </w:p>
    <w:p w14:paraId="11D5AC85"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 </w:t>
      </w:r>
    </w:p>
    <w:p w14:paraId="4D48139A"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Therefore, be it resolved, the Minnesota Public Health Association (MPHA) shall:</w:t>
      </w:r>
    </w:p>
    <w:p w14:paraId="6124D801"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1.</w:t>
      </w:r>
      <w:r w:rsidRPr="00323C91">
        <w:rPr>
          <w:rFonts w:ascii="Arial" w:eastAsia="Times New Roman" w:hAnsi="Arial" w:cs="Arial"/>
          <w:color w:val="155965"/>
          <w:sz w:val="27"/>
          <w:szCs w:val="27"/>
        </w:rPr>
        <w:t> </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Support legislation, policies, and practices that encourage state and local agencies who administer health and social service programs to integrate voter registration opportunities for applicants who are U.S citizens, eligible to vote, and at least 18 years old on Election Day.</w:t>
      </w:r>
    </w:p>
    <w:p w14:paraId="5D7F8F21"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2.</w:t>
      </w:r>
      <w:r w:rsidRPr="00323C91">
        <w:rPr>
          <w:rFonts w:ascii="Arial" w:eastAsia="Times New Roman" w:hAnsi="Arial" w:cs="Arial"/>
          <w:color w:val="155965"/>
          <w:sz w:val="27"/>
          <w:szCs w:val="27"/>
        </w:rPr>
        <w:t> </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Support legislation, policies and practices that encourage all health-related organizations, including public health, health systems and health plans, to include voter registration and education in their programs and services.</w:t>
      </w:r>
      <w:r w:rsidRPr="00323C91">
        <w:rPr>
          <w:rFonts w:ascii="Arial" w:eastAsia="Times New Roman" w:hAnsi="Arial" w:cs="Arial"/>
          <w:color w:val="155965"/>
          <w:sz w:val="27"/>
          <w:szCs w:val="27"/>
        </w:rPr>
        <w:t> </w:t>
      </w:r>
    </w:p>
    <w:p w14:paraId="01A2CCFE"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3.</w:t>
      </w:r>
      <w:r w:rsidRPr="00323C91">
        <w:rPr>
          <w:rFonts w:ascii="Arial" w:eastAsia="Times New Roman" w:hAnsi="Arial" w:cs="Arial"/>
          <w:color w:val="155965"/>
          <w:sz w:val="27"/>
          <w:szCs w:val="27"/>
        </w:rPr>
        <w:t> </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Support efforts that make compliance with Minnesota Statute 201.162 by state agencies, community-based public agencies, and nonprofit corporations a routine practice; and</w:t>
      </w:r>
      <w:r w:rsidRPr="00323C91">
        <w:rPr>
          <w:rFonts w:ascii="Arial" w:eastAsia="Times New Roman" w:hAnsi="Arial" w:cs="Arial"/>
          <w:color w:val="155965"/>
          <w:sz w:val="27"/>
          <w:szCs w:val="27"/>
        </w:rPr>
        <w:t> </w:t>
      </w:r>
    </w:p>
    <w:p w14:paraId="5D9EE43E"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4.</w:t>
      </w:r>
      <w:r w:rsidRPr="00323C91">
        <w:rPr>
          <w:rFonts w:ascii="Arial" w:eastAsia="Times New Roman" w:hAnsi="Arial" w:cs="Arial"/>
          <w:color w:val="155965"/>
          <w:sz w:val="27"/>
          <w:szCs w:val="27"/>
        </w:rPr>
        <w:t> </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Support policies and practices that allow for those who are 16 and 17 years old to pre-register to vote, when they will reach voting age and then be eligible to vote.</w:t>
      </w:r>
    </w:p>
    <w:p w14:paraId="33A712AA"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5.</w:t>
      </w:r>
      <w:r w:rsidRPr="00323C91">
        <w:rPr>
          <w:rFonts w:ascii="Arial" w:eastAsia="Times New Roman" w:hAnsi="Arial" w:cs="Arial"/>
          <w:color w:val="155965"/>
          <w:sz w:val="27"/>
          <w:szCs w:val="27"/>
        </w:rPr>
        <w:t> </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Support policies and initiatives that increase voter registration and voting for American Indians/Alaskan Natives and people of color.</w:t>
      </w:r>
    </w:p>
    <w:p w14:paraId="2B83D787"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6.</w:t>
      </w:r>
      <w:r w:rsidRPr="00323C91">
        <w:rPr>
          <w:rFonts w:ascii="Arial" w:eastAsia="Times New Roman" w:hAnsi="Arial" w:cs="Arial"/>
          <w:color w:val="155965"/>
          <w:sz w:val="27"/>
          <w:szCs w:val="27"/>
        </w:rPr>
        <w:t> </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Support policies and practices that allow people with disabilities to fully participate in the political process, including ensuring the accessibility of polling locations and through promoting the availability of accessible voting technology.</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vertAlign w:val="superscript"/>
        </w:rPr>
        <w:t>28</w:t>
      </w:r>
    </w:p>
    <w:p w14:paraId="7BF032BA"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7.</w:t>
      </w:r>
      <w:r w:rsidRPr="00323C91">
        <w:rPr>
          <w:rFonts w:ascii="Arial" w:eastAsia="Times New Roman" w:hAnsi="Arial" w:cs="Arial"/>
          <w:color w:val="155965"/>
          <w:sz w:val="27"/>
          <w:szCs w:val="27"/>
        </w:rPr>
        <w:t> </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 xml:space="preserve">Support policies and practices that increase the number of eligible Minnesotans who </w:t>
      </w:r>
      <w:proofErr w:type="gramStart"/>
      <w:r w:rsidRPr="00323C91">
        <w:rPr>
          <w:rFonts w:ascii="Arial" w:eastAsia="Times New Roman" w:hAnsi="Arial" w:cs="Arial"/>
          <w:color w:val="155965"/>
          <w:sz w:val="23"/>
          <w:szCs w:val="23"/>
        </w:rPr>
        <w:t>both  register</w:t>
      </w:r>
      <w:proofErr w:type="gramEnd"/>
      <w:r w:rsidRPr="00323C91">
        <w:rPr>
          <w:rFonts w:ascii="Arial" w:eastAsia="Times New Roman" w:hAnsi="Arial" w:cs="Arial"/>
          <w:color w:val="155965"/>
          <w:sz w:val="23"/>
          <w:szCs w:val="23"/>
        </w:rPr>
        <w:t xml:space="preserve"> to vote and cast a ballot in elections and increase awareness of these policies and practices, through the creation of an even lower cost to vote by making elections more accessible across the state, including considerations for people with varying literacy and/or abilities. These include: </w:t>
      </w:r>
    </w:p>
    <w:p w14:paraId="48D6FDDC"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a.</w:t>
      </w:r>
      <w:r w:rsidRPr="00323C91">
        <w:rPr>
          <w:rFonts w:ascii="Arial" w:eastAsia="Times New Roman" w:hAnsi="Arial" w:cs="Arial"/>
          <w:color w:val="155965"/>
          <w:sz w:val="27"/>
          <w:szCs w:val="27"/>
        </w:rPr>
        <w:t> </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 xml:space="preserve">automatic and same day </w:t>
      </w:r>
      <w:proofErr w:type="gramStart"/>
      <w:r w:rsidRPr="00323C91">
        <w:rPr>
          <w:rFonts w:ascii="Arial" w:eastAsia="Times New Roman" w:hAnsi="Arial" w:cs="Arial"/>
          <w:color w:val="155965"/>
          <w:sz w:val="23"/>
          <w:szCs w:val="23"/>
        </w:rPr>
        <w:t>registration;</w:t>
      </w:r>
      <w:proofErr w:type="gramEnd"/>
      <w:r w:rsidRPr="00323C91">
        <w:rPr>
          <w:rFonts w:ascii="Arial" w:eastAsia="Times New Roman" w:hAnsi="Arial" w:cs="Arial"/>
          <w:color w:val="155965"/>
          <w:sz w:val="23"/>
          <w:szCs w:val="23"/>
        </w:rPr>
        <w:t> </w:t>
      </w:r>
    </w:p>
    <w:p w14:paraId="7AD5B729"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b.</w:t>
      </w:r>
      <w:r w:rsidRPr="00323C91">
        <w:rPr>
          <w:rFonts w:ascii="Arial" w:eastAsia="Times New Roman" w:hAnsi="Arial" w:cs="Arial"/>
          <w:color w:val="155965"/>
          <w:sz w:val="27"/>
          <w:szCs w:val="27"/>
        </w:rPr>
        <w:t> </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 xml:space="preserve">early </w:t>
      </w:r>
      <w:proofErr w:type="gramStart"/>
      <w:r w:rsidRPr="00323C91">
        <w:rPr>
          <w:rFonts w:ascii="Arial" w:eastAsia="Times New Roman" w:hAnsi="Arial" w:cs="Arial"/>
          <w:color w:val="155965"/>
          <w:sz w:val="23"/>
          <w:szCs w:val="23"/>
        </w:rPr>
        <w:t>voting;</w:t>
      </w:r>
      <w:proofErr w:type="gramEnd"/>
      <w:r w:rsidRPr="00323C91">
        <w:rPr>
          <w:rFonts w:ascii="Arial" w:eastAsia="Times New Roman" w:hAnsi="Arial" w:cs="Arial"/>
          <w:color w:val="155965"/>
          <w:sz w:val="23"/>
          <w:szCs w:val="23"/>
        </w:rPr>
        <w:t> </w:t>
      </w:r>
    </w:p>
    <w:p w14:paraId="73E0A2B7"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lastRenderedPageBreak/>
        <w:t>c.</w:t>
      </w:r>
      <w:r w:rsidRPr="00323C91">
        <w:rPr>
          <w:rFonts w:ascii="Arial" w:eastAsia="Times New Roman" w:hAnsi="Arial" w:cs="Arial"/>
          <w:color w:val="155965"/>
          <w:sz w:val="27"/>
          <w:szCs w:val="27"/>
        </w:rPr>
        <w:t> </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vote-by-</w:t>
      </w:r>
      <w:proofErr w:type="gramStart"/>
      <w:r w:rsidRPr="00323C91">
        <w:rPr>
          <w:rFonts w:ascii="Arial" w:eastAsia="Times New Roman" w:hAnsi="Arial" w:cs="Arial"/>
          <w:color w:val="155965"/>
          <w:sz w:val="23"/>
          <w:szCs w:val="23"/>
        </w:rPr>
        <w:t>mail;</w:t>
      </w:r>
      <w:proofErr w:type="gramEnd"/>
    </w:p>
    <w:p w14:paraId="0BCF4C61"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d.</w:t>
      </w:r>
      <w:r w:rsidRPr="00323C91">
        <w:rPr>
          <w:rFonts w:ascii="Arial" w:eastAsia="Times New Roman" w:hAnsi="Arial" w:cs="Arial"/>
          <w:color w:val="155965"/>
          <w:sz w:val="27"/>
          <w:szCs w:val="27"/>
        </w:rPr>
        <w:t> </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 xml:space="preserve">no-excuse absentee </w:t>
      </w:r>
      <w:proofErr w:type="gramStart"/>
      <w:r w:rsidRPr="00323C91">
        <w:rPr>
          <w:rFonts w:ascii="Arial" w:eastAsia="Times New Roman" w:hAnsi="Arial" w:cs="Arial"/>
          <w:color w:val="155965"/>
          <w:sz w:val="23"/>
          <w:szCs w:val="23"/>
        </w:rPr>
        <w:t>voting;</w:t>
      </w:r>
      <w:proofErr w:type="gramEnd"/>
      <w:r w:rsidRPr="00323C91">
        <w:rPr>
          <w:rFonts w:ascii="Arial" w:eastAsia="Times New Roman" w:hAnsi="Arial" w:cs="Arial"/>
          <w:color w:val="155965"/>
          <w:sz w:val="23"/>
          <w:szCs w:val="23"/>
        </w:rPr>
        <w:t> </w:t>
      </w:r>
    </w:p>
    <w:p w14:paraId="2AB1EF7E"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e.</w:t>
      </w:r>
      <w:r w:rsidRPr="00323C91">
        <w:rPr>
          <w:rFonts w:ascii="Arial" w:eastAsia="Times New Roman" w:hAnsi="Arial" w:cs="Arial"/>
          <w:color w:val="155965"/>
          <w:sz w:val="27"/>
          <w:szCs w:val="27"/>
        </w:rPr>
        <w:t> </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convenient voting locations and hours </w:t>
      </w:r>
    </w:p>
    <w:p w14:paraId="073D8ED7"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f.</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physical accessibility of polling sites, and assistance with equipment, languages, and awareness of assistance methods for casting a ballot.</w:t>
      </w:r>
    </w:p>
    <w:p w14:paraId="5F9D8E51"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8.</w:t>
      </w:r>
      <w:r w:rsidRPr="00323C91">
        <w:rPr>
          <w:rFonts w:ascii="Arial" w:eastAsia="Times New Roman" w:hAnsi="Arial" w:cs="Arial"/>
          <w:color w:val="155965"/>
          <w:sz w:val="27"/>
          <w:szCs w:val="27"/>
        </w:rPr>
        <w:t> </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Oppose policies and practices that create barriers - or discourage, suppress, or restrict the ability of eligible voters to either register to vote and/or cast a ballot in free and fair elections. These include but are not limited to: </w:t>
      </w:r>
    </w:p>
    <w:p w14:paraId="3A69ACD1"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a.</w:t>
      </w:r>
      <w:r w:rsidRPr="00323C91">
        <w:rPr>
          <w:rFonts w:ascii="Arial" w:eastAsia="Times New Roman" w:hAnsi="Arial" w:cs="Arial"/>
          <w:color w:val="155965"/>
          <w:sz w:val="27"/>
          <w:szCs w:val="27"/>
        </w:rPr>
        <w:t> </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partisan or otherwise biased redistricting </w:t>
      </w:r>
    </w:p>
    <w:p w14:paraId="03179D47"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b.</w:t>
      </w:r>
      <w:r w:rsidRPr="00323C91">
        <w:rPr>
          <w:rFonts w:ascii="Arial" w:eastAsia="Times New Roman" w:hAnsi="Arial" w:cs="Arial"/>
          <w:color w:val="155965"/>
          <w:sz w:val="27"/>
          <w:szCs w:val="27"/>
        </w:rPr>
        <w:t> </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requiring identity verification or other additional documentation requirements at the polls after the person has already established their eligibility to vote</w:t>
      </w:r>
    </w:p>
    <w:p w14:paraId="3BF96DFB"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c.</w:t>
      </w:r>
      <w:r w:rsidRPr="00323C91">
        <w:rPr>
          <w:rFonts w:ascii="Arial" w:eastAsia="Times New Roman" w:hAnsi="Arial" w:cs="Arial"/>
          <w:color w:val="155965"/>
          <w:sz w:val="27"/>
          <w:szCs w:val="27"/>
        </w:rPr>
        <w:t> </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unnecessary registration deadlines</w:t>
      </w:r>
    </w:p>
    <w:p w14:paraId="6AFD1112"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d.</w:t>
      </w:r>
      <w:r w:rsidRPr="00323C91">
        <w:rPr>
          <w:rFonts w:ascii="Arial" w:eastAsia="Times New Roman" w:hAnsi="Arial" w:cs="Arial"/>
          <w:color w:val="155965"/>
          <w:sz w:val="27"/>
          <w:szCs w:val="27"/>
        </w:rPr>
        <w:t> </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prohibiting online registration</w:t>
      </w:r>
    </w:p>
    <w:p w14:paraId="0984DD0C"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e.</w:t>
      </w:r>
      <w:r w:rsidRPr="00323C91">
        <w:rPr>
          <w:rFonts w:ascii="Arial" w:eastAsia="Times New Roman" w:hAnsi="Arial" w:cs="Arial"/>
          <w:color w:val="155965"/>
          <w:sz w:val="27"/>
          <w:szCs w:val="27"/>
        </w:rPr>
        <w:t> </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requiring an approved excuse for early voting</w:t>
      </w:r>
    </w:p>
    <w:p w14:paraId="4920D26D"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f.</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minimizing poll locations or hours of operation</w:t>
      </w:r>
    </w:p>
    <w:p w14:paraId="0B357ADD"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g.</w:t>
      </w:r>
      <w:r w:rsidRPr="00323C91">
        <w:rPr>
          <w:rFonts w:ascii="Arial" w:eastAsia="Times New Roman" w:hAnsi="Arial" w:cs="Arial"/>
          <w:color w:val="155965"/>
          <w:sz w:val="27"/>
          <w:szCs w:val="27"/>
        </w:rPr>
        <w:t> </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restricting voting by mail</w:t>
      </w:r>
    </w:p>
    <w:p w14:paraId="1DB72CE8"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h.</w:t>
      </w:r>
      <w:r w:rsidRPr="00323C91">
        <w:rPr>
          <w:rFonts w:ascii="Arial" w:eastAsia="Times New Roman" w:hAnsi="Arial" w:cs="Arial"/>
          <w:color w:val="155965"/>
          <w:sz w:val="27"/>
          <w:szCs w:val="27"/>
        </w:rPr>
        <w:t> </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disallowing nourishment in voting lines</w:t>
      </w:r>
    </w:p>
    <w:p w14:paraId="174271BD"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proofErr w:type="spellStart"/>
      <w:r w:rsidRPr="00323C91">
        <w:rPr>
          <w:rFonts w:ascii="Arial" w:eastAsia="Times New Roman" w:hAnsi="Arial" w:cs="Arial"/>
          <w:color w:val="155965"/>
          <w:sz w:val="23"/>
          <w:szCs w:val="23"/>
        </w:rPr>
        <w:t>i</w:t>
      </w:r>
      <w:proofErr w:type="spellEnd"/>
      <w:r w:rsidRPr="00323C91">
        <w:rPr>
          <w:rFonts w:ascii="Arial" w:eastAsia="Times New Roman" w:hAnsi="Arial" w:cs="Arial"/>
          <w:color w:val="155965"/>
          <w:sz w:val="23"/>
          <w:szCs w:val="23"/>
        </w:rPr>
        <w:t>.</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policies and initiatives that reduce voter participation of American Indians/Alaska Natives and people of color</w:t>
      </w:r>
    </w:p>
    <w:p w14:paraId="6B120EA3"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9.</w:t>
      </w:r>
      <w:r w:rsidRPr="00323C91">
        <w:rPr>
          <w:rFonts w:ascii="Arial" w:eastAsia="Times New Roman" w:hAnsi="Arial" w:cs="Arial"/>
          <w:color w:val="155965"/>
          <w:sz w:val="27"/>
          <w:szCs w:val="27"/>
        </w:rPr>
        <w:t> </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Support the inclusion of civic participation and voter registration as a measurable objective for public health agencies and initiatives, including the Healthy People-2030 initiative. </w:t>
      </w:r>
    </w:p>
    <w:p w14:paraId="2EC87F26"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10.</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Encourage its members and other stakeholders to promote the health of communities by reminding them of upcoming elections and to vote in every election in which they are eligible to vote, while making the connection of how voting impacts their health and improves health equity, and</w:t>
      </w:r>
    </w:p>
    <w:p w14:paraId="5CC29910"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11.</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 xml:space="preserve">Provide members and other stakeholders with opportunities to learn about issues that will shape policy and encourage members and other stakeholders to support elections and </w:t>
      </w:r>
      <w:r w:rsidRPr="00323C91">
        <w:rPr>
          <w:rFonts w:ascii="Arial" w:eastAsia="Times New Roman" w:hAnsi="Arial" w:cs="Arial"/>
          <w:color w:val="155965"/>
          <w:sz w:val="23"/>
          <w:szCs w:val="23"/>
        </w:rPr>
        <w:lastRenderedPageBreak/>
        <w:t>to be civically engaged, by serving as election workers or volunteers and by participating in town halls and other public meetings.</w:t>
      </w:r>
    </w:p>
    <w:p w14:paraId="3076E6DC"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12.</w:t>
      </w:r>
      <w:r w:rsidRPr="00323C91">
        <w:rPr>
          <w:rFonts w:ascii="Arial" w:eastAsia="Times New Roman" w:hAnsi="Arial" w:cs="Arial"/>
          <w:color w:val="155965"/>
          <w:sz w:val="14"/>
          <w:szCs w:val="14"/>
        </w:rPr>
        <w:t> </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Provide its members and other stakeholders with information on how public health experts can play a larger role in helping election administrators manage safe options for voters to cast their ballots; including voters who may have active COVID-19 infections, those who are particularly vulnerable to a host of other health concerns, or those who are not familiar or comfortable with absentee or vote-by-mail options.</w:t>
      </w:r>
    </w:p>
    <w:p w14:paraId="5C835CEA"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p>
    <w:p w14:paraId="3690526D"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References</w:t>
      </w:r>
    </w:p>
    <w:p w14:paraId="59B6FC22" w14:textId="77777777" w:rsidR="00323C91" w:rsidRPr="00323C91" w:rsidRDefault="00323C91" w:rsidP="00323C91">
      <w:pPr>
        <w:rPr>
          <w:rFonts w:ascii="Times New Roman" w:eastAsia="Times New Roman" w:hAnsi="Times New Roman" w:cs="Times New Roman"/>
        </w:rPr>
      </w:pPr>
      <w:r w:rsidRPr="00323C91">
        <w:rPr>
          <w:rFonts w:ascii="Arial" w:eastAsia="Times New Roman" w:hAnsi="Arial" w:cs="Arial"/>
          <w:color w:val="155965"/>
          <w:sz w:val="27"/>
          <w:szCs w:val="27"/>
        </w:rPr>
        <w:t> </w:t>
      </w:r>
      <w:r w:rsidRPr="00323C91">
        <w:rPr>
          <w:rFonts w:ascii="Arial" w:eastAsia="Times New Roman" w:hAnsi="Arial" w:cs="Arial"/>
          <w:color w:val="155965"/>
          <w:sz w:val="27"/>
          <w:szCs w:val="27"/>
        </w:rPr>
        <w:br/>
      </w:r>
      <w:r w:rsidRPr="00323C91">
        <w:rPr>
          <w:rFonts w:ascii="Arial" w:eastAsia="Times New Roman" w:hAnsi="Arial" w:cs="Arial"/>
          <w:color w:val="155965"/>
          <w:sz w:val="23"/>
          <w:szCs w:val="23"/>
        </w:rPr>
        <w:t>1. </w:t>
      </w:r>
      <w:hyperlink r:id="rId4" w:tgtFrame="_blank" w:history="1">
        <w:r w:rsidRPr="00323C91">
          <w:rPr>
            <w:rFonts w:ascii="Arial" w:eastAsia="Times New Roman" w:hAnsi="Arial" w:cs="Arial"/>
            <w:color w:val="A03322"/>
            <w:sz w:val="23"/>
            <w:szCs w:val="23"/>
            <w:u w:val="single"/>
          </w:rPr>
          <w:t>Trujillo, M. D., &amp; Plough, A. (2016). Building a culture of health: A new framework and measures for health and health care in America.</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Social Science &amp; Medicine</w:t>
        </w:r>
        <w:r w:rsidRPr="00323C91">
          <w:rPr>
            <w:rFonts w:ascii="Arial" w:eastAsia="Times New Roman" w:hAnsi="Arial" w:cs="Arial"/>
            <w:color w:val="A03322"/>
            <w:sz w:val="23"/>
            <w:szCs w:val="23"/>
            <w:u w:val="single"/>
          </w:rPr>
          <w:t>,</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165</w:t>
        </w:r>
        <w:r w:rsidRPr="00323C91">
          <w:rPr>
            <w:rFonts w:ascii="Arial" w:eastAsia="Times New Roman" w:hAnsi="Arial" w:cs="Arial"/>
            <w:color w:val="A03322"/>
            <w:sz w:val="23"/>
            <w:szCs w:val="23"/>
            <w:u w:val="single"/>
          </w:rPr>
          <w:t>, 206–213</w:t>
        </w:r>
      </w:hyperlink>
      <w:r w:rsidRPr="00323C91">
        <w:rPr>
          <w:rFonts w:ascii="Arial" w:eastAsia="Times New Roman" w:hAnsi="Arial" w:cs="Arial"/>
          <w:color w:val="155965"/>
          <w:sz w:val="23"/>
          <w:szCs w:val="23"/>
        </w:rPr>
        <w:t>.</w:t>
      </w:r>
      <w:r w:rsidRPr="00323C91">
        <w:rPr>
          <w:rFonts w:ascii="Arial" w:eastAsia="Times New Roman" w:hAnsi="Arial" w:cs="Arial"/>
          <w:color w:val="155965"/>
          <w:sz w:val="27"/>
          <w:szCs w:val="27"/>
        </w:rPr>
        <w:t> </w:t>
      </w:r>
      <w:r w:rsidRPr="00323C91">
        <w:rPr>
          <w:rFonts w:ascii="Arial" w:eastAsia="Times New Roman" w:hAnsi="Arial" w:cs="Arial"/>
          <w:color w:val="155965"/>
          <w:sz w:val="27"/>
          <w:szCs w:val="27"/>
        </w:rPr>
        <w:br/>
        <w:t> </w:t>
      </w:r>
      <w:r w:rsidRPr="00323C91">
        <w:rPr>
          <w:rFonts w:ascii="Arial" w:eastAsia="Times New Roman" w:hAnsi="Arial" w:cs="Arial"/>
          <w:color w:val="155965"/>
          <w:sz w:val="27"/>
          <w:szCs w:val="27"/>
        </w:rPr>
        <w:br/>
      </w:r>
      <w:r w:rsidRPr="00323C91">
        <w:rPr>
          <w:rFonts w:ascii="Arial" w:eastAsia="Times New Roman" w:hAnsi="Arial" w:cs="Arial"/>
          <w:color w:val="155965"/>
          <w:sz w:val="23"/>
          <w:szCs w:val="23"/>
        </w:rPr>
        <w:t>2. </w:t>
      </w:r>
      <w:hyperlink r:id="rId5" w:tgtFrame="_blank" w:history="1">
        <w:r w:rsidRPr="00323C91">
          <w:rPr>
            <w:rFonts w:ascii="Arial" w:eastAsia="Times New Roman" w:hAnsi="Arial" w:cs="Arial"/>
            <w:color w:val="A03322"/>
            <w:sz w:val="23"/>
            <w:szCs w:val="23"/>
            <w:u w:val="single"/>
          </w:rPr>
          <w:t>American Public Health Association. (2021). Healing through policy: Creating pathways to racial justice.</w:t>
        </w:r>
      </w:hyperlink>
      <w:r w:rsidRPr="00323C91">
        <w:rPr>
          <w:rFonts w:ascii="Arial" w:eastAsia="Times New Roman" w:hAnsi="Arial" w:cs="Arial"/>
          <w:color w:val="155965"/>
          <w:sz w:val="27"/>
          <w:szCs w:val="27"/>
        </w:rPr>
        <w:br/>
      </w:r>
      <w:r w:rsidRPr="00323C91">
        <w:rPr>
          <w:rFonts w:ascii="Arial" w:eastAsia="Times New Roman" w:hAnsi="Arial" w:cs="Arial"/>
          <w:color w:val="155965"/>
          <w:sz w:val="27"/>
          <w:szCs w:val="27"/>
        </w:rPr>
        <w:br/>
      </w:r>
      <w:r w:rsidRPr="00323C91">
        <w:rPr>
          <w:rFonts w:ascii="Arial" w:eastAsia="Times New Roman" w:hAnsi="Arial" w:cs="Arial"/>
          <w:color w:val="155965"/>
          <w:sz w:val="23"/>
          <w:szCs w:val="23"/>
        </w:rPr>
        <w:t>3. </w:t>
      </w:r>
      <w:hyperlink r:id="rId6" w:tgtFrame="_blank" w:history="1">
        <w:r w:rsidRPr="00323C91">
          <w:rPr>
            <w:rFonts w:ascii="Arial" w:eastAsia="Times New Roman" w:hAnsi="Arial" w:cs="Arial"/>
            <w:color w:val="A03322"/>
            <w:sz w:val="23"/>
            <w:szCs w:val="23"/>
            <w:u w:val="single"/>
          </w:rPr>
          <w:t>Nelson, C., Sloan, J., &amp; Chandra, A. (2019).</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Examining Civic Engagement Links to Health: Findings from the Literature and Implications for a Culture of Health</w:t>
        </w:r>
        <w:r w:rsidRPr="00323C91">
          <w:rPr>
            <w:rFonts w:ascii="Arial" w:eastAsia="Times New Roman" w:hAnsi="Arial" w:cs="Arial"/>
            <w:color w:val="A03322"/>
            <w:sz w:val="23"/>
            <w:szCs w:val="23"/>
            <w:u w:val="single"/>
          </w:rPr>
          <w:t>. RAND Corporation</w:t>
        </w:r>
      </w:hyperlink>
      <w:r w:rsidRPr="00323C91">
        <w:rPr>
          <w:rFonts w:ascii="Arial" w:eastAsia="Times New Roman" w:hAnsi="Arial" w:cs="Arial"/>
          <w:color w:val="155965"/>
          <w:sz w:val="23"/>
          <w:szCs w:val="23"/>
        </w:rPr>
        <w:t>.</w:t>
      </w:r>
      <w:r w:rsidRPr="00323C91">
        <w:rPr>
          <w:rFonts w:ascii="Arial" w:eastAsia="Times New Roman" w:hAnsi="Arial" w:cs="Arial"/>
          <w:color w:val="155965"/>
          <w:sz w:val="27"/>
          <w:szCs w:val="27"/>
        </w:rPr>
        <w:br/>
        <w:t> </w:t>
      </w:r>
      <w:r w:rsidRPr="00323C91">
        <w:rPr>
          <w:rFonts w:ascii="Arial" w:eastAsia="Times New Roman" w:hAnsi="Arial" w:cs="Arial"/>
          <w:color w:val="155965"/>
          <w:sz w:val="27"/>
          <w:szCs w:val="27"/>
        </w:rPr>
        <w:br/>
      </w:r>
      <w:r w:rsidRPr="00323C91">
        <w:rPr>
          <w:rFonts w:ascii="Arial" w:eastAsia="Times New Roman" w:hAnsi="Arial" w:cs="Arial"/>
          <w:color w:val="155965"/>
          <w:sz w:val="23"/>
          <w:szCs w:val="23"/>
        </w:rPr>
        <w:t>4. </w:t>
      </w:r>
      <w:hyperlink r:id="rId7" w:tgtFrame="_blank" w:history="1">
        <w:r w:rsidRPr="00323C91">
          <w:rPr>
            <w:rFonts w:ascii="Arial" w:eastAsia="Times New Roman" w:hAnsi="Arial" w:cs="Arial"/>
            <w:color w:val="A03322"/>
            <w:sz w:val="23"/>
            <w:szCs w:val="23"/>
            <w:u w:val="single"/>
          </w:rPr>
          <w:t xml:space="preserve">Dubowitz, T., Nelson, C., </w:t>
        </w:r>
        <w:proofErr w:type="spellStart"/>
        <w:r w:rsidRPr="00323C91">
          <w:rPr>
            <w:rFonts w:ascii="Arial" w:eastAsia="Times New Roman" w:hAnsi="Arial" w:cs="Arial"/>
            <w:color w:val="A03322"/>
            <w:sz w:val="23"/>
            <w:szCs w:val="23"/>
            <w:u w:val="single"/>
          </w:rPr>
          <w:t>Weilant</w:t>
        </w:r>
        <w:proofErr w:type="spellEnd"/>
        <w:r w:rsidRPr="00323C91">
          <w:rPr>
            <w:rFonts w:ascii="Arial" w:eastAsia="Times New Roman" w:hAnsi="Arial" w:cs="Arial"/>
            <w:color w:val="A03322"/>
            <w:sz w:val="23"/>
            <w:szCs w:val="23"/>
            <w:u w:val="single"/>
          </w:rPr>
          <w:t>, S., Sloan, J., Bogart, A., Miller, C., &amp; Chandra, A. (2020). Factors related to health civic engagement: Results from the 2018 National Survey of Health Attitudes to understand progress towards a Culture of Health.</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BMC Public Health</w:t>
        </w:r>
        <w:r w:rsidRPr="00323C91">
          <w:rPr>
            <w:rFonts w:ascii="Arial" w:eastAsia="Times New Roman" w:hAnsi="Arial" w:cs="Arial"/>
            <w:color w:val="A03322"/>
            <w:sz w:val="23"/>
            <w:szCs w:val="23"/>
            <w:u w:val="single"/>
          </w:rPr>
          <w:t>,</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20, 635</w:t>
        </w:r>
      </w:hyperlink>
      <w:r w:rsidRPr="00323C91">
        <w:rPr>
          <w:rFonts w:ascii="Arial" w:eastAsia="Times New Roman" w:hAnsi="Arial" w:cs="Arial"/>
          <w:color w:val="155965"/>
          <w:sz w:val="23"/>
          <w:szCs w:val="23"/>
        </w:rPr>
        <w:t>.</w:t>
      </w:r>
      <w:r w:rsidRPr="00323C91">
        <w:rPr>
          <w:rFonts w:ascii="Arial" w:eastAsia="Times New Roman" w:hAnsi="Arial" w:cs="Arial"/>
          <w:color w:val="155965"/>
          <w:sz w:val="27"/>
          <w:szCs w:val="27"/>
        </w:rPr>
        <w:br/>
        <w:t> </w:t>
      </w:r>
      <w:r w:rsidRPr="00323C91">
        <w:rPr>
          <w:rFonts w:ascii="Arial" w:eastAsia="Times New Roman" w:hAnsi="Arial" w:cs="Arial"/>
          <w:color w:val="155965"/>
          <w:sz w:val="27"/>
          <w:szCs w:val="27"/>
        </w:rPr>
        <w:br/>
      </w:r>
      <w:r w:rsidRPr="00323C91">
        <w:rPr>
          <w:rFonts w:ascii="Arial" w:eastAsia="Times New Roman" w:hAnsi="Arial" w:cs="Arial"/>
          <w:color w:val="155965"/>
          <w:sz w:val="23"/>
          <w:szCs w:val="23"/>
        </w:rPr>
        <w:t>5. </w:t>
      </w:r>
      <w:hyperlink r:id="rId8" w:tgtFrame="_blank" w:history="1">
        <w:r w:rsidRPr="00323C91">
          <w:rPr>
            <w:rFonts w:ascii="Arial" w:eastAsia="Times New Roman" w:hAnsi="Arial" w:cs="Arial"/>
            <w:color w:val="A03322"/>
            <w:sz w:val="23"/>
            <w:szCs w:val="23"/>
            <w:u w:val="single"/>
          </w:rPr>
          <w:t xml:space="preserve">Holbein, J. B., Schafer, J. P., &amp; Dickinson, D. L. (2019). Insufficient sleep reduces voting and other prosocial </w:t>
        </w:r>
        <w:proofErr w:type="spellStart"/>
        <w:r w:rsidRPr="00323C91">
          <w:rPr>
            <w:rFonts w:ascii="Arial" w:eastAsia="Times New Roman" w:hAnsi="Arial" w:cs="Arial"/>
            <w:color w:val="A03322"/>
            <w:sz w:val="23"/>
            <w:szCs w:val="23"/>
            <w:u w:val="single"/>
          </w:rPr>
          <w:t>behaviours</w:t>
        </w:r>
        <w:proofErr w:type="spellEnd"/>
        <w:r w:rsidRPr="00323C91">
          <w:rPr>
            <w:rFonts w:ascii="Arial" w:eastAsia="Times New Roman" w:hAnsi="Arial" w:cs="Arial"/>
            <w:color w:val="A03322"/>
            <w:sz w:val="23"/>
            <w:szCs w:val="23"/>
            <w:u w:val="single"/>
          </w:rPr>
          <w:t>.</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 xml:space="preserve">Nature Human </w:t>
        </w:r>
        <w:proofErr w:type="spellStart"/>
        <w:r w:rsidRPr="00323C91">
          <w:rPr>
            <w:rFonts w:ascii="Arial" w:eastAsia="Times New Roman" w:hAnsi="Arial" w:cs="Arial"/>
            <w:i/>
            <w:iCs/>
            <w:color w:val="A03322"/>
            <w:sz w:val="23"/>
            <w:szCs w:val="23"/>
          </w:rPr>
          <w:t>Behaviour</w:t>
        </w:r>
        <w:proofErr w:type="spellEnd"/>
        <w:r w:rsidRPr="00323C91">
          <w:rPr>
            <w:rFonts w:ascii="Arial" w:eastAsia="Times New Roman" w:hAnsi="Arial" w:cs="Arial"/>
            <w:color w:val="A03322"/>
            <w:sz w:val="23"/>
            <w:szCs w:val="23"/>
            <w:u w:val="single"/>
          </w:rPr>
          <w:t>,</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3</w:t>
        </w:r>
        <w:r w:rsidRPr="00323C91">
          <w:rPr>
            <w:rFonts w:ascii="Arial" w:eastAsia="Times New Roman" w:hAnsi="Arial" w:cs="Arial"/>
            <w:color w:val="A03322"/>
            <w:sz w:val="23"/>
            <w:szCs w:val="23"/>
            <w:u w:val="single"/>
          </w:rPr>
          <w:t>(5), 492–500</w:t>
        </w:r>
      </w:hyperlink>
      <w:r w:rsidRPr="00323C91">
        <w:rPr>
          <w:rFonts w:ascii="Arial" w:eastAsia="Times New Roman" w:hAnsi="Arial" w:cs="Arial"/>
          <w:color w:val="155965"/>
          <w:sz w:val="23"/>
          <w:szCs w:val="23"/>
        </w:rPr>
        <w:t>.</w:t>
      </w:r>
      <w:r w:rsidRPr="00323C91">
        <w:rPr>
          <w:rFonts w:ascii="Arial" w:eastAsia="Times New Roman" w:hAnsi="Arial" w:cs="Arial"/>
          <w:color w:val="155965"/>
          <w:sz w:val="27"/>
          <w:szCs w:val="27"/>
        </w:rPr>
        <w:br/>
        <w:t> </w:t>
      </w:r>
      <w:r w:rsidRPr="00323C91">
        <w:rPr>
          <w:rFonts w:ascii="Arial" w:eastAsia="Times New Roman" w:hAnsi="Arial" w:cs="Arial"/>
          <w:color w:val="155965"/>
          <w:sz w:val="27"/>
          <w:szCs w:val="27"/>
        </w:rPr>
        <w:br/>
      </w:r>
      <w:r w:rsidRPr="00323C91">
        <w:rPr>
          <w:rFonts w:ascii="Arial" w:eastAsia="Times New Roman" w:hAnsi="Arial" w:cs="Arial"/>
          <w:color w:val="155965"/>
          <w:sz w:val="23"/>
          <w:szCs w:val="23"/>
        </w:rPr>
        <w:t>6. </w:t>
      </w:r>
      <w:hyperlink r:id="rId9" w:tgtFrame="_blank" w:history="1">
        <w:r w:rsidRPr="00323C91">
          <w:rPr>
            <w:rFonts w:ascii="Arial" w:eastAsia="Times New Roman" w:hAnsi="Arial" w:cs="Arial"/>
            <w:color w:val="A03322"/>
            <w:sz w:val="23"/>
            <w:szCs w:val="23"/>
            <w:u w:val="single"/>
          </w:rPr>
          <w:t>Ojeda, C., &amp; Pacheco, J. (2019). Health and voting in young adulthood.</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British Journal of Political Science</w:t>
        </w:r>
        <w:r w:rsidRPr="00323C91">
          <w:rPr>
            <w:rFonts w:ascii="Arial" w:eastAsia="Times New Roman" w:hAnsi="Arial" w:cs="Arial"/>
            <w:color w:val="A03322"/>
            <w:sz w:val="23"/>
            <w:szCs w:val="23"/>
            <w:u w:val="single"/>
          </w:rPr>
          <w:t>,</w:t>
        </w:r>
        <w:r w:rsidRPr="00323C91">
          <w:rPr>
            <w:rFonts w:ascii="Arial" w:eastAsia="Times New Roman" w:hAnsi="Arial" w:cs="Arial"/>
            <w:i/>
            <w:iCs/>
            <w:color w:val="A03322"/>
            <w:sz w:val="23"/>
            <w:szCs w:val="23"/>
          </w:rPr>
          <w:t>49</w:t>
        </w:r>
        <w:r w:rsidRPr="00323C91">
          <w:rPr>
            <w:rFonts w:ascii="Arial" w:eastAsia="Times New Roman" w:hAnsi="Arial" w:cs="Arial"/>
            <w:color w:val="A03322"/>
            <w:sz w:val="23"/>
            <w:szCs w:val="23"/>
            <w:u w:val="single"/>
          </w:rPr>
          <w:t>(3), 1163–1186</w:t>
        </w:r>
      </w:hyperlink>
      <w:r w:rsidRPr="00323C91">
        <w:rPr>
          <w:rFonts w:ascii="Arial" w:eastAsia="Times New Roman" w:hAnsi="Arial" w:cs="Arial"/>
          <w:color w:val="155965"/>
          <w:sz w:val="23"/>
          <w:szCs w:val="23"/>
        </w:rPr>
        <w:t>.</w:t>
      </w:r>
      <w:r w:rsidRPr="00323C91">
        <w:rPr>
          <w:rFonts w:ascii="Arial" w:eastAsia="Times New Roman" w:hAnsi="Arial" w:cs="Arial"/>
          <w:color w:val="155965"/>
          <w:sz w:val="27"/>
          <w:szCs w:val="27"/>
        </w:rPr>
        <w:br/>
        <w:t> </w:t>
      </w:r>
      <w:r w:rsidRPr="00323C91">
        <w:rPr>
          <w:rFonts w:ascii="Arial" w:eastAsia="Times New Roman" w:hAnsi="Arial" w:cs="Arial"/>
          <w:color w:val="155965"/>
          <w:sz w:val="27"/>
          <w:szCs w:val="27"/>
        </w:rPr>
        <w:br/>
      </w:r>
      <w:r w:rsidRPr="00323C91">
        <w:rPr>
          <w:rFonts w:ascii="Arial" w:eastAsia="Times New Roman" w:hAnsi="Arial" w:cs="Arial"/>
          <w:color w:val="155965"/>
          <w:sz w:val="23"/>
          <w:szCs w:val="23"/>
        </w:rPr>
        <w:t>7. </w:t>
      </w:r>
      <w:hyperlink r:id="rId10" w:tgtFrame="_blank" w:history="1">
        <w:r w:rsidRPr="00323C91">
          <w:rPr>
            <w:rFonts w:ascii="Arial" w:eastAsia="Times New Roman" w:hAnsi="Arial" w:cs="Arial"/>
            <w:color w:val="A03322"/>
            <w:sz w:val="23"/>
            <w:szCs w:val="23"/>
            <w:u w:val="single"/>
          </w:rPr>
          <w:t>Healthy People 2030.</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Civic Participation</w:t>
        </w:r>
      </w:hyperlink>
      <w:r w:rsidRPr="00323C91">
        <w:rPr>
          <w:rFonts w:ascii="Arial" w:eastAsia="Times New Roman" w:hAnsi="Arial" w:cs="Arial"/>
          <w:i/>
          <w:iCs/>
          <w:color w:val="155965"/>
          <w:sz w:val="23"/>
          <w:szCs w:val="23"/>
        </w:rPr>
        <w:t>.</w:t>
      </w:r>
      <w:r w:rsidRPr="00323C91">
        <w:rPr>
          <w:rFonts w:ascii="Arial" w:eastAsia="Times New Roman" w:hAnsi="Arial" w:cs="Arial"/>
          <w:color w:val="155965"/>
          <w:sz w:val="27"/>
          <w:szCs w:val="27"/>
        </w:rPr>
        <w:t> </w:t>
      </w:r>
      <w:r w:rsidRPr="00323C91">
        <w:rPr>
          <w:rFonts w:ascii="Arial" w:eastAsia="Times New Roman" w:hAnsi="Arial" w:cs="Arial"/>
          <w:color w:val="155965"/>
          <w:sz w:val="23"/>
          <w:szCs w:val="23"/>
        </w:rPr>
        <w:t>Accessed June 2, 2022</w:t>
      </w:r>
      <w:r w:rsidRPr="00323C91">
        <w:rPr>
          <w:rFonts w:ascii="Arial" w:eastAsia="Times New Roman" w:hAnsi="Arial" w:cs="Arial"/>
          <w:color w:val="155965"/>
          <w:sz w:val="27"/>
          <w:szCs w:val="27"/>
        </w:rPr>
        <w:br/>
        <w:t> </w:t>
      </w:r>
      <w:r w:rsidRPr="00323C91">
        <w:rPr>
          <w:rFonts w:ascii="Arial" w:eastAsia="Times New Roman" w:hAnsi="Arial" w:cs="Arial"/>
          <w:color w:val="155965"/>
          <w:sz w:val="27"/>
          <w:szCs w:val="27"/>
        </w:rPr>
        <w:br/>
      </w:r>
      <w:r w:rsidRPr="00323C91">
        <w:rPr>
          <w:rFonts w:ascii="Arial" w:eastAsia="Times New Roman" w:hAnsi="Arial" w:cs="Arial"/>
          <w:color w:val="155965"/>
          <w:sz w:val="23"/>
          <w:szCs w:val="23"/>
          <w:shd w:val="clear" w:color="auto" w:fill="FFFFFF"/>
        </w:rPr>
        <w:t>8. </w:t>
      </w:r>
      <w:hyperlink r:id="rId11" w:tgtFrame="_blank" w:history="1">
        <w:r w:rsidRPr="00323C91">
          <w:rPr>
            <w:rFonts w:ascii="Arial" w:eastAsia="Times New Roman" w:hAnsi="Arial" w:cs="Arial"/>
            <w:color w:val="A03322"/>
            <w:sz w:val="23"/>
            <w:szCs w:val="23"/>
            <w:u w:val="single"/>
            <w:shd w:val="clear" w:color="auto" w:fill="FFFFFF"/>
          </w:rPr>
          <w:t>Kim, S., Kim, C. Y., &amp; You, M. S. (2015). Civic participation and self-rated health: a cross-national multi-level analysis using the world value survey.</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shd w:val="clear" w:color="auto" w:fill="FFFFFF"/>
          </w:rPr>
          <w:t xml:space="preserve">Journal of preventive medicine and public health = </w:t>
        </w:r>
        <w:proofErr w:type="spellStart"/>
        <w:r w:rsidRPr="00323C91">
          <w:rPr>
            <w:rFonts w:ascii="Arial" w:eastAsia="Times New Roman" w:hAnsi="Arial" w:cs="Arial"/>
            <w:i/>
            <w:iCs/>
            <w:color w:val="A03322"/>
            <w:sz w:val="23"/>
            <w:szCs w:val="23"/>
            <w:shd w:val="clear" w:color="auto" w:fill="FFFFFF"/>
          </w:rPr>
          <w:t>Yebang</w:t>
        </w:r>
        <w:proofErr w:type="spellEnd"/>
        <w:r w:rsidRPr="00323C91">
          <w:rPr>
            <w:rFonts w:ascii="Arial" w:eastAsia="Times New Roman" w:hAnsi="Arial" w:cs="Arial"/>
            <w:i/>
            <w:iCs/>
            <w:color w:val="A03322"/>
            <w:sz w:val="23"/>
            <w:szCs w:val="23"/>
            <w:shd w:val="clear" w:color="auto" w:fill="FFFFFF"/>
          </w:rPr>
          <w:t xml:space="preserve"> </w:t>
        </w:r>
        <w:proofErr w:type="spellStart"/>
        <w:r w:rsidRPr="00323C91">
          <w:rPr>
            <w:rFonts w:ascii="Arial" w:eastAsia="Times New Roman" w:hAnsi="Arial" w:cs="Arial"/>
            <w:i/>
            <w:iCs/>
            <w:color w:val="A03322"/>
            <w:sz w:val="23"/>
            <w:szCs w:val="23"/>
            <w:shd w:val="clear" w:color="auto" w:fill="FFFFFF"/>
          </w:rPr>
          <w:t>Uihakhoe</w:t>
        </w:r>
        <w:proofErr w:type="spellEnd"/>
        <w:r w:rsidRPr="00323C91">
          <w:rPr>
            <w:rFonts w:ascii="Arial" w:eastAsia="Times New Roman" w:hAnsi="Arial" w:cs="Arial"/>
            <w:i/>
            <w:iCs/>
            <w:color w:val="A03322"/>
            <w:sz w:val="23"/>
            <w:szCs w:val="23"/>
            <w:shd w:val="clear" w:color="auto" w:fill="FFFFFF"/>
          </w:rPr>
          <w:t xml:space="preserve"> chi</w:t>
        </w:r>
        <w:r w:rsidRPr="00323C91">
          <w:rPr>
            <w:rFonts w:ascii="Arial" w:eastAsia="Times New Roman" w:hAnsi="Arial" w:cs="Arial"/>
            <w:color w:val="A03322"/>
            <w:sz w:val="23"/>
            <w:szCs w:val="23"/>
            <w:u w:val="single"/>
            <w:shd w:val="clear" w:color="auto" w:fill="FFFFFF"/>
          </w:rPr>
          <w:t>,</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shd w:val="clear" w:color="auto" w:fill="FFFFFF"/>
          </w:rPr>
          <w:t>48</w:t>
        </w:r>
        <w:r w:rsidRPr="00323C91">
          <w:rPr>
            <w:rFonts w:ascii="Arial" w:eastAsia="Times New Roman" w:hAnsi="Arial" w:cs="Arial"/>
            <w:color w:val="A03322"/>
            <w:sz w:val="23"/>
            <w:szCs w:val="23"/>
            <w:u w:val="single"/>
            <w:shd w:val="clear" w:color="auto" w:fill="FFFFFF"/>
          </w:rPr>
          <w:t>(1), 18–27</w:t>
        </w:r>
      </w:hyperlink>
      <w:r w:rsidRPr="00323C91">
        <w:rPr>
          <w:rFonts w:ascii="Arial" w:eastAsia="Times New Roman" w:hAnsi="Arial" w:cs="Arial"/>
          <w:color w:val="155965"/>
          <w:sz w:val="23"/>
          <w:szCs w:val="23"/>
          <w:shd w:val="clear" w:color="auto" w:fill="FFFFFF"/>
        </w:rPr>
        <w:t>.</w:t>
      </w:r>
      <w:r w:rsidRPr="00323C91">
        <w:rPr>
          <w:rFonts w:ascii="Arial" w:eastAsia="Times New Roman" w:hAnsi="Arial" w:cs="Arial"/>
          <w:color w:val="155965"/>
          <w:sz w:val="27"/>
          <w:szCs w:val="27"/>
        </w:rPr>
        <w:br/>
        <w:t> </w:t>
      </w:r>
      <w:r w:rsidRPr="00323C91">
        <w:rPr>
          <w:rFonts w:ascii="Arial" w:eastAsia="Times New Roman" w:hAnsi="Arial" w:cs="Arial"/>
          <w:color w:val="155965"/>
          <w:sz w:val="27"/>
          <w:szCs w:val="27"/>
        </w:rPr>
        <w:br/>
      </w:r>
      <w:r w:rsidRPr="00323C91">
        <w:rPr>
          <w:rFonts w:ascii="Arial" w:eastAsia="Times New Roman" w:hAnsi="Arial" w:cs="Arial"/>
          <w:color w:val="155965"/>
          <w:sz w:val="23"/>
          <w:szCs w:val="23"/>
        </w:rPr>
        <w:t xml:space="preserve">9. </w:t>
      </w:r>
      <w:proofErr w:type="spellStart"/>
      <w:r w:rsidRPr="00323C91">
        <w:rPr>
          <w:rFonts w:ascii="Arial" w:eastAsia="Times New Roman" w:hAnsi="Arial" w:cs="Arial"/>
          <w:color w:val="155965"/>
          <w:sz w:val="23"/>
          <w:szCs w:val="23"/>
        </w:rPr>
        <w:t>Blendon</w:t>
      </w:r>
      <w:proofErr w:type="spellEnd"/>
      <w:r w:rsidRPr="00323C91">
        <w:rPr>
          <w:rFonts w:ascii="Arial" w:eastAsia="Times New Roman" w:hAnsi="Arial" w:cs="Arial"/>
          <w:color w:val="155965"/>
          <w:sz w:val="23"/>
          <w:szCs w:val="23"/>
        </w:rPr>
        <w:t>, R. J., Benson, J. M., &amp; McMurtry, C. L. (2018). Health Care in the 2018 Election. New</w:t>
      </w:r>
      <w:r w:rsidRPr="00323C91">
        <w:rPr>
          <w:rFonts w:ascii="Arial" w:eastAsia="Times New Roman" w:hAnsi="Arial" w:cs="Arial"/>
          <w:color w:val="155965"/>
          <w:sz w:val="27"/>
          <w:szCs w:val="27"/>
        </w:rPr>
        <w:t> </w:t>
      </w:r>
      <w:r w:rsidRPr="00323C91">
        <w:rPr>
          <w:rFonts w:ascii="Arial" w:eastAsia="Times New Roman" w:hAnsi="Arial" w:cs="Arial"/>
          <w:i/>
          <w:iCs/>
          <w:color w:val="155965"/>
          <w:sz w:val="23"/>
          <w:szCs w:val="23"/>
        </w:rPr>
        <w:t>England Journal of Medicine, 319</w:t>
      </w:r>
      <w:r w:rsidRPr="00323C91">
        <w:rPr>
          <w:rFonts w:ascii="Arial" w:eastAsia="Times New Roman" w:hAnsi="Arial" w:cs="Arial"/>
          <w:color w:val="155965"/>
          <w:sz w:val="23"/>
          <w:szCs w:val="23"/>
        </w:rPr>
        <w:t>(18), e32. DOI:10.1056/NEJMsr1813425</w:t>
      </w:r>
      <w:r w:rsidRPr="00323C91">
        <w:rPr>
          <w:rFonts w:ascii="Arial" w:eastAsia="Times New Roman" w:hAnsi="Arial" w:cs="Arial"/>
          <w:color w:val="155965"/>
          <w:sz w:val="27"/>
          <w:szCs w:val="27"/>
        </w:rPr>
        <w:br/>
      </w:r>
      <w:r w:rsidRPr="00323C91">
        <w:rPr>
          <w:rFonts w:ascii="Arial" w:eastAsia="Times New Roman" w:hAnsi="Arial" w:cs="Arial"/>
          <w:color w:val="155965"/>
          <w:sz w:val="27"/>
          <w:szCs w:val="27"/>
        </w:rPr>
        <w:lastRenderedPageBreak/>
        <w:br/>
      </w:r>
      <w:r w:rsidRPr="00323C91">
        <w:rPr>
          <w:rFonts w:ascii="Arial" w:eastAsia="Times New Roman" w:hAnsi="Arial" w:cs="Arial"/>
          <w:color w:val="155965"/>
          <w:sz w:val="23"/>
          <w:szCs w:val="23"/>
        </w:rPr>
        <w:t>10. </w:t>
      </w:r>
      <w:hyperlink r:id="rId12" w:tgtFrame="_blank" w:history="1">
        <w:r w:rsidRPr="00323C91">
          <w:rPr>
            <w:rFonts w:ascii="Arial" w:eastAsia="Times New Roman" w:hAnsi="Arial" w:cs="Arial"/>
            <w:color w:val="A03322"/>
            <w:sz w:val="23"/>
            <w:szCs w:val="23"/>
            <w:u w:val="single"/>
          </w:rPr>
          <w:t>Weber, L., &amp; Barry-Jester, A. M. (2021, September 15). Over Half of States Have Rolled Back Public Health Powers in Pandemic.</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Kaiser Health News</w:t>
        </w:r>
      </w:hyperlink>
      <w:r w:rsidRPr="00323C91">
        <w:rPr>
          <w:rFonts w:ascii="Arial" w:eastAsia="Times New Roman" w:hAnsi="Arial" w:cs="Arial"/>
          <w:color w:val="155965"/>
          <w:sz w:val="23"/>
          <w:szCs w:val="23"/>
        </w:rPr>
        <w:t>.</w:t>
      </w:r>
      <w:r w:rsidRPr="00323C91">
        <w:rPr>
          <w:rFonts w:ascii="Arial" w:eastAsia="Times New Roman" w:hAnsi="Arial" w:cs="Arial"/>
          <w:color w:val="155965"/>
          <w:sz w:val="27"/>
          <w:szCs w:val="27"/>
        </w:rPr>
        <w:br/>
      </w:r>
    </w:p>
    <w:p w14:paraId="5BF38AB4" w14:textId="77777777" w:rsidR="00323C91" w:rsidRPr="00323C91" w:rsidRDefault="00323C91" w:rsidP="00323C91">
      <w:pPr>
        <w:spacing w:before="100" w:beforeAutospacing="1" w:after="100" w:afterAutospacing="1"/>
        <w:rPr>
          <w:rFonts w:ascii="Ubuntu" w:eastAsia="Times New Roman" w:hAnsi="Ubuntu" w:cs="Times New Roman"/>
          <w:color w:val="155965"/>
          <w:sz w:val="27"/>
          <w:szCs w:val="27"/>
        </w:rPr>
      </w:pPr>
      <w:r w:rsidRPr="00323C91">
        <w:rPr>
          <w:rFonts w:ascii="Arial" w:eastAsia="Times New Roman" w:hAnsi="Arial" w:cs="Arial"/>
          <w:color w:val="155965"/>
          <w:sz w:val="23"/>
          <w:szCs w:val="23"/>
        </w:rPr>
        <w:t>11. </w:t>
      </w:r>
      <w:proofErr w:type="spellStart"/>
      <w:r w:rsidRPr="00323C91">
        <w:rPr>
          <w:rFonts w:ascii="Arial" w:eastAsia="Times New Roman" w:hAnsi="Arial" w:cs="Arial"/>
          <w:color w:val="155965"/>
          <w:sz w:val="23"/>
          <w:szCs w:val="23"/>
        </w:rPr>
        <w:fldChar w:fldCharType="begin"/>
      </w:r>
      <w:r w:rsidRPr="00323C91">
        <w:rPr>
          <w:rFonts w:ascii="Arial" w:eastAsia="Times New Roman" w:hAnsi="Arial" w:cs="Arial"/>
          <w:color w:val="155965"/>
          <w:sz w:val="23"/>
          <w:szCs w:val="23"/>
        </w:rPr>
        <w:instrText xml:space="preserve"> HYPERLINK "https://doi.org/10.1016/j.amepre.2021.01.034" \t "_blank" </w:instrText>
      </w:r>
      <w:r w:rsidRPr="00323C91">
        <w:rPr>
          <w:rFonts w:ascii="Arial" w:eastAsia="Times New Roman" w:hAnsi="Arial" w:cs="Arial"/>
          <w:color w:val="155965"/>
          <w:sz w:val="23"/>
          <w:szCs w:val="23"/>
        </w:rPr>
        <w:fldChar w:fldCharType="separate"/>
      </w:r>
      <w:r w:rsidRPr="00323C91">
        <w:rPr>
          <w:rFonts w:ascii="Arial" w:eastAsia="Times New Roman" w:hAnsi="Arial" w:cs="Arial"/>
          <w:color w:val="A03322"/>
          <w:sz w:val="23"/>
          <w:szCs w:val="23"/>
          <w:u w:val="single"/>
        </w:rPr>
        <w:t>Neelon</w:t>
      </w:r>
      <w:proofErr w:type="spellEnd"/>
      <w:r w:rsidRPr="00323C91">
        <w:rPr>
          <w:rFonts w:ascii="Arial" w:eastAsia="Times New Roman" w:hAnsi="Arial" w:cs="Arial"/>
          <w:color w:val="A03322"/>
          <w:sz w:val="23"/>
          <w:szCs w:val="23"/>
          <w:u w:val="single"/>
        </w:rPr>
        <w:t xml:space="preserve">, B., </w:t>
      </w:r>
      <w:proofErr w:type="spellStart"/>
      <w:r w:rsidRPr="00323C91">
        <w:rPr>
          <w:rFonts w:ascii="Arial" w:eastAsia="Times New Roman" w:hAnsi="Arial" w:cs="Arial"/>
          <w:color w:val="A03322"/>
          <w:sz w:val="23"/>
          <w:szCs w:val="23"/>
          <w:u w:val="single"/>
        </w:rPr>
        <w:t>Mutiso</w:t>
      </w:r>
      <w:proofErr w:type="spellEnd"/>
      <w:r w:rsidRPr="00323C91">
        <w:rPr>
          <w:rFonts w:ascii="Arial" w:eastAsia="Times New Roman" w:hAnsi="Arial" w:cs="Arial"/>
          <w:color w:val="A03322"/>
          <w:sz w:val="23"/>
          <w:szCs w:val="23"/>
          <w:u w:val="single"/>
        </w:rPr>
        <w:t>, F., Mueller, N. T., Pearce, J. L., &amp; Benjamin-</w:t>
      </w:r>
      <w:proofErr w:type="spellStart"/>
      <w:r w:rsidRPr="00323C91">
        <w:rPr>
          <w:rFonts w:ascii="Arial" w:eastAsia="Times New Roman" w:hAnsi="Arial" w:cs="Arial"/>
          <w:color w:val="A03322"/>
          <w:sz w:val="23"/>
          <w:szCs w:val="23"/>
          <w:u w:val="single"/>
        </w:rPr>
        <w:t>Neelon</w:t>
      </w:r>
      <w:proofErr w:type="spellEnd"/>
      <w:r w:rsidRPr="00323C91">
        <w:rPr>
          <w:rFonts w:ascii="Arial" w:eastAsia="Times New Roman" w:hAnsi="Arial" w:cs="Arial"/>
          <w:color w:val="A03322"/>
          <w:sz w:val="23"/>
          <w:szCs w:val="23"/>
          <w:u w:val="single"/>
        </w:rPr>
        <w:t>, S. E. (2021). Associations Between governor political affiliation and COVID-19 cases, deaths, and testing in the U.S.</w:t>
      </w:r>
      <w:r w:rsidRPr="00323C91">
        <w:rPr>
          <w:rFonts w:ascii="Ubuntu" w:eastAsia="Times New Roman" w:hAnsi="Ubuntu" w:cs="Arial"/>
          <w:color w:val="A03322"/>
          <w:sz w:val="27"/>
          <w:szCs w:val="27"/>
          <w:u w:val="single"/>
        </w:rPr>
        <w:t> </w:t>
      </w:r>
      <w:r w:rsidRPr="00323C91">
        <w:rPr>
          <w:rFonts w:ascii="Arial" w:eastAsia="Times New Roman" w:hAnsi="Arial" w:cs="Arial"/>
          <w:i/>
          <w:iCs/>
          <w:color w:val="A03322"/>
          <w:sz w:val="23"/>
          <w:szCs w:val="23"/>
        </w:rPr>
        <w:t>American Journal of Preventive Medicine</w:t>
      </w:r>
      <w:r w:rsidRPr="00323C91">
        <w:rPr>
          <w:rFonts w:ascii="Arial" w:eastAsia="Times New Roman" w:hAnsi="Arial" w:cs="Arial"/>
          <w:color w:val="A03322"/>
          <w:sz w:val="23"/>
          <w:szCs w:val="23"/>
          <w:u w:val="single"/>
        </w:rPr>
        <w:t>,</w:t>
      </w:r>
      <w:r w:rsidRPr="00323C91">
        <w:rPr>
          <w:rFonts w:ascii="Ubuntu" w:eastAsia="Times New Roman" w:hAnsi="Ubuntu" w:cs="Arial"/>
          <w:color w:val="A03322"/>
          <w:sz w:val="27"/>
          <w:szCs w:val="27"/>
          <w:u w:val="single"/>
        </w:rPr>
        <w:t> </w:t>
      </w:r>
      <w:r w:rsidRPr="00323C91">
        <w:rPr>
          <w:rFonts w:ascii="Arial" w:eastAsia="Times New Roman" w:hAnsi="Arial" w:cs="Arial"/>
          <w:i/>
          <w:iCs/>
          <w:color w:val="A03322"/>
          <w:sz w:val="23"/>
          <w:szCs w:val="23"/>
        </w:rPr>
        <w:t>61</w:t>
      </w:r>
      <w:r w:rsidRPr="00323C91">
        <w:rPr>
          <w:rFonts w:ascii="Arial" w:eastAsia="Times New Roman" w:hAnsi="Arial" w:cs="Arial"/>
          <w:color w:val="A03322"/>
          <w:sz w:val="23"/>
          <w:szCs w:val="23"/>
          <w:u w:val="single"/>
        </w:rPr>
        <w:t>(1), 115–119</w:t>
      </w:r>
      <w:r w:rsidRPr="00323C91">
        <w:rPr>
          <w:rFonts w:ascii="Arial" w:eastAsia="Times New Roman" w:hAnsi="Arial" w:cs="Arial"/>
          <w:color w:val="155965"/>
          <w:sz w:val="23"/>
          <w:szCs w:val="23"/>
        </w:rPr>
        <w:fldChar w:fldCharType="end"/>
      </w:r>
    </w:p>
    <w:p w14:paraId="291CF9E0" w14:textId="77777777" w:rsidR="00323C91" w:rsidRPr="00323C91" w:rsidRDefault="00323C91" w:rsidP="00323C91">
      <w:pPr>
        <w:spacing w:before="100" w:beforeAutospacing="1" w:after="100" w:afterAutospacing="1"/>
        <w:rPr>
          <w:rFonts w:ascii="Ubuntu" w:eastAsia="Times New Roman" w:hAnsi="Ubuntu" w:cs="Times New Roman"/>
          <w:color w:val="155965"/>
          <w:sz w:val="27"/>
          <w:szCs w:val="27"/>
        </w:rPr>
      </w:pPr>
      <w:r w:rsidRPr="00323C91">
        <w:rPr>
          <w:rFonts w:ascii="Arial" w:eastAsia="Times New Roman" w:hAnsi="Arial" w:cs="Arial"/>
          <w:color w:val="155965"/>
          <w:sz w:val="23"/>
          <w:szCs w:val="23"/>
        </w:rPr>
        <w:t>12. </w:t>
      </w:r>
      <w:proofErr w:type="spellStart"/>
      <w:r w:rsidRPr="00323C91">
        <w:rPr>
          <w:rFonts w:ascii="Arial" w:eastAsia="Times New Roman" w:hAnsi="Arial" w:cs="Arial"/>
          <w:color w:val="155965"/>
          <w:sz w:val="27"/>
          <w:szCs w:val="27"/>
        </w:rPr>
        <w:fldChar w:fldCharType="begin"/>
      </w:r>
      <w:r w:rsidRPr="00323C91">
        <w:rPr>
          <w:rFonts w:ascii="Arial" w:eastAsia="Times New Roman" w:hAnsi="Arial" w:cs="Arial"/>
          <w:color w:val="155965"/>
          <w:sz w:val="27"/>
          <w:szCs w:val="27"/>
        </w:rPr>
        <w:instrText xml:space="preserve"> HYPERLINK "https://doi.org/10.1016/j.ssmph.2016.12.011" \t "_blank" </w:instrText>
      </w:r>
      <w:r w:rsidRPr="00323C91">
        <w:rPr>
          <w:rFonts w:ascii="Arial" w:eastAsia="Times New Roman" w:hAnsi="Arial" w:cs="Arial"/>
          <w:color w:val="155965"/>
          <w:sz w:val="27"/>
          <w:szCs w:val="27"/>
        </w:rPr>
        <w:fldChar w:fldCharType="separate"/>
      </w:r>
      <w:r w:rsidRPr="00323C91">
        <w:rPr>
          <w:rFonts w:ascii="Arial" w:eastAsia="Times New Roman" w:hAnsi="Arial" w:cs="Arial"/>
          <w:color w:val="A03322"/>
          <w:sz w:val="23"/>
          <w:szCs w:val="23"/>
          <w:u w:val="single"/>
        </w:rPr>
        <w:t>Purtle</w:t>
      </w:r>
      <w:proofErr w:type="spellEnd"/>
      <w:r w:rsidRPr="00323C91">
        <w:rPr>
          <w:rFonts w:ascii="Arial" w:eastAsia="Times New Roman" w:hAnsi="Arial" w:cs="Arial"/>
          <w:color w:val="A03322"/>
          <w:sz w:val="23"/>
          <w:szCs w:val="23"/>
          <w:u w:val="single"/>
        </w:rPr>
        <w:t>, J., Goldstein, N. D., Edson, E., &amp; Hand, A. (2017). Who votes for public health? U.S. senator characteristics associated with voting in concordance with public health policy recommendations (1998–2013).</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SSM - Population Health</w:t>
      </w:r>
      <w:r w:rsidRPr="00323C91">
        <w:rPr>
          <w:rFonts w:ascii="Arial" w:eastAsia="Times New Roman" w:hAnsi="Arial" w:cs="Arial"/>
          <w:color w:val="A03322"/>
          <w:sz w:val="23"/>
          <w:szCs w:val="23"/>
          <w:u w:val="single"/>
        </w:rPr>
        <w:t>,</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3</w:t>
      </w:r>
      <w:r w:rsidRPr="00323C91">
        <w:rPr>
          <w:rFonts w:ascii="Arial" w:eastAsia="Times New Roman" w:hAnsi="Arial" w:cs="Arial"/>
          <w:color w:val="A03322"/>
          <w:sz w:val="23"/>
          <w:szCs w:val="23"/>
          <w:u w:val="single"/>
        </w:rPr>
        <w:t>, 136–140</w:t>
      </w:r>
      <w:r w:rsidRPr="00323C91">
        <w:rPr>
          <w:rFonts w:ascii="Arial" w:eastAsia="Times New Roman" w:hAnsi="Arial" w:cs="Arial"/>
          <w:color w:val="155965"/>
          <w:sz w:val="27"/>
          <w:szCs w:val="27"/>
        </w:rPr>
        <w:fldChar w:fldCharType="end"/>
      </w:r>
      <w:r w:rsidRPr="00323C91">
        <w:rPr>
          <w:rFonts w:ascii="Arial" w:eastAsia="Times New Roman" w:hAnsi="Arial" w:cs="Arial"/>
          <w:color w:val="155965"/>
          <w:sz w:val="23"/>
          <w:szCs w:val="23"/>
        </w:rPr>
        <w:t>.</w:t>
      </w:r>
    </w:p>
    <w:p w14:paraId="57AAE216" w14:textId="77777777" w:rsidR="00323C91" w:rsidRPr="00323C91" w:rsidRDefault="00323C91" w:rsidP="00323C91">
      <w:pPr>
        <w:rPr>
          <w:rFonts w:ascii="Times New Roman" w:eastAsia="Times New Roman" w:hAnsi="Times New Roman" w:cs="Times New Roman"/>
        </w:rPr>
      </w:pPr>
      <w:r w:rsidRPr="00323C91">
        <w:rPr>
          <w:rFonts w:ascii="Arial" w:eastAsia="Times New Roman" w:hAnsi="Arial" w:cs="Arial"/>
          <w:color w:val="155965"/>
          <w:sz w:val="23"/>
          <w:szCs w:val="23"/>
        </w:rPr>
        <w:t>13. </w:t>
      </w:r>
      <w:hyperlink r:id="rId13" w:tgtFrame="_blank" w:history="1">
        <w:r w:rsidRPr="00323C91">
          <w:rPr>
            <w:rFonts w:ascii="Arial" w:eastAsia="Times New Roman" w:hAnsi="Arial" w:cs="Arial"/>
            <w:color w:val="A03322"/>
            <w:sz w:val="23"/>
            <w:szCs w:val="23"/>
            <w:u w:val="single"/>
          </w:rPr>
          <w:t xml:space="preserve">Eden, J., Salas, J., Santos </w:t>
        </w:r>
        <w:proofErr w:type="spellStart"/>
        <w:r w:rsidRPr="00323C91">
          <w:rPr>
            <w:rFonts w:ascii="Arial" w:eastAsia="Times New Roman" w:hAnsi="Arial" w:cs="Arial"/>
            <w:color w:val="A03322"/>
            <w:sz w:val="23"/>
            <w:szCs w:val="23"/>
            <w:u w:val="single"/>
          </w:rPr>
          <w:t>Rutschman</w:t>
        </w:r>
        <w:proofErr w:type="spellEnd"/>
        <w:r w:rsidRPr="00323C91">
          <w:rPr>
            <w:rFonts w:ascii="Arial" w:eastAsia="Times New Roman" w:hAnsi="Arial" w:cs="Arial"/>
            <w:color w:val="A03322"/>
            <w:sz w:val="23"/>
            <w:szCs w:val="23"/>
            <w:u w:val="single"/>
          </w:rPr>
          <w:t xml:space="preserve">, A., </w:t>
        </w:r>
        <w:proofErr w:type="spellStart"/>
        <w:r w:rsidRPr="00323C91">
          <w:rPr>
            <w:rFonts w:ascii="Arial" w:eastAsia="Times New Roman" w:hAnsi="Arial" w:cs="Arial"/>
            <w:color w:val="A03322"/>
            <w:sz w:val="23"/>
            <w:szCs w:val="23"/>
            <w:u w:val="single"/>
          </w:rPr>
          <w:t>Prener</w:t>
        </w:r>
        <w:proofErr w:type="spellEnd"/>
        <w:r w:rsidRPr="00323C91">
          <w:rPr>
            <w:rFonts w:ascii="Arial" w:eastAsia="Times New Roman" w:hAnsi="Arial" w:cs="Arial"/>
            <w:color w:val="A03322"/>
            <w:sz w:val="23"/>
            <w:szCs w:val="23"/>
            <w:u w:val="single"/>
          </w:rPr>
          <w:t xml:space="preserve">, C. G., </w:t>
        </w:r>
        <w:proofErr w:type="spellStart"/>
        <w:r w:rsidRPr="00323C91">
          <w:rPr>
            <w:rFonts w:ascii="Arial" w:eastAsia="Times New Roman" w:hAnsi="Arial" w:cs="Arial"/>
            <w:color w:val="A03322"/>
            <w:sz w:val="23"/>
            <w:szCs w:val="23"/>
            <w:u w:val="single"/>
          </w:rPr>
          <w:t>Niemotka</w:t>
        </w:r>
        <w:proofErr w:type="spellEnd"/>
        <w:r w:rsidRPr="00323C91">
          <w:rPr>
            <w:rFonts w:ascii="Arial" w:eastAsia="Times New Roman" w:hAnsi="Arial" w:cs="Arial"/>
            <w:color w:val="A03322"/>
            <w:sz w:val="23"/>
            <w:szCs w:val="23"/>
            <w:u w:val="single"/>
          </w:rPr>
          <w:t xml:space="preserve">, S. L., &amp; </w:t>
        </w:r>
        <w:proofErr w:type="spellStart"/>
        <w:r w:rsidRPr="00323C91">
          <w:rPr>
            <w:rFonts w:ascii="Arial" w:eastAsia="Times New Roman" w:hAnsi="Arial" w:cs="Arial"/>
            <w:color w:val="A03322"/>
            <w:sz w:val="23"/>
            <w:szCs w:val="23"/>
            <w:u w:val="single"/>
          </w:rPr>
          <w:t>Wiemken</w:t>
        </w:r>
        <w:proofErr w:type="spellEnd"/>
        <w:r w:rsidRPr="00323C91">
          <w:rPr>
            <w:rFonts w:ascii="Arial" w:eastAsia="Times New Roman" w:hAnsi="Arial" w:cs="Arial"/>
            <w:color w:val="A03322"/>
            <w:sz w:val="23"/>
            <w:szCs w:val="23"/>
            <w:u w:val="single"/>
          </w:rPr>
          <w:t>, T. L. (2021). Associations of presidential voting preference and gubernatorial control with county-level COVID-19 case and death rates in the continental United States.</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Public Health</w:t>
        </w:r>
        <w:r w:rsidRPr="00323C91">
          <w:rPr>
            <w:rFonts w:ascii="Arial" w:eastAsia="Times New Roman" w:hAnsi="Arial" w:cs="Arial"/>
            <w:color w:val="A03322"/>
            <w:sz w:val="23"/>
            <w:szCs w:val="23"/>
            <w:u w:val="single"/>
          </w:rPr>
          <w:t>,</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198</w:t>
        </w:r>
        <w:r w:rsidRPr="00323C91">
          <w:rPr>
            <w:rFonts w:ascii="Arial" w:eastAsia="Times New Roman" w:hAnsi="Arial" w:cs="Arial"/>
            <w:color w:val="A03322"/>
            <w:sz w:val="23"/>
            <w:szCs w:val="23"/>
            <w:u w:val="single"/>
          </w:rPr>
          <w:t>, 161–163</w:t>
        </w:r>
      </w:hyperlink>
      <w:r w:rsidRPr="00323C91">
        <w:rPr>
          <w:rFonts w:ascii="Arial" w:eastAsia="Times New Roman" w:hAnsi="Arial" w:cs="Arial"/>
          <w:color w:val="155965"/>
          <w:sz w:val="23"/>
          <w:szCs w:val="23"/>
        </w:rPr>
        <w:t>.</w:t>
      </w:r>
      <w:r w:rsidRPr="00323C91">
        <w:rPr>
          <w:rFonts w:ascii="Arial" w:eastAsia="Times New Roman" w:hAnsi="Arial" w:cs="Arial"/>
          <w:color w:val="155965"/>
          <w:sz w:val="27"/>
          <w:szCs w:val="27"/>
        </w:rPr>
        <w:br/>
      </w:r>
      <w:r w:rsidRPr="00323C91">
        <w:rPr>
          <w:rFonts w:ascii="Arial" w:eastAsia="Times New Roman" w:hAnsi="Arial" w:cs="Arial"/>
          <w:color w:val="155965"/>
          <w:sz w:val="27"/>
          <w:szCs w:val="27"/>
        </w:rPr>
        <w:br/>
      </w:r>
      <w:r w:rsidRPr="00323C91">
        <w:rPr>
          <w:rFonts w:ascii="Arial" w:eastAsia="Times New Roman" w:hAnsi="Arial" w:cs="Arial"/>
          <w:color w:val="155965"/>
          <w:sz w:val="23"/>
          <w:szCs w:val="23"/>
        </w:rPr>
        <w:t>14. </w:t>
      </w:r>
      <w:proofErr w:type="spellStart"/>
      <w:r w:rsidRPr="00323C91">
        <w:rPr>
          <w:rFonts w:ascii="Arial" w:eastAsia="Times New Roman" w:hAnsi="Arial" w:cs="Arial"/>
          <w:color w:val="155965"/>
          <w:sz w:val="27"/>
          <w:szCs w:val="27"/>
        </w:rPr>
        <w:fldChar w:fldCharType="begin"/>
      </w:r>
      <w:r w:rsidRPr="00323C91">
        <w:rPr>
          <w:rFonts w:ascii="Arial" w:eastAsia="Times New Roman" w:hAnsi="Arial" w:cs="Arial"/>
          <w:color w:val="155965"/>
          <w:sz w:val="27"/>
          <w:szCs w:val="27"/>
        </w:rPr>
        <w:instrText xml:space="preserve"> HYPERLINK "https://doi.org/10.1215/03616878-7367012" \t "_blank" </w:instrText>
      </w:r>
      <w:r w:rsidRPr="00323C91">
        <w:rPr>
          <w:rFonts w:ascii="Arial" w:eastAsia="Times New Roman" w:hAnsi="Arial" w:cs="Arial"/>
          <w:color w:val="155965"/>
          <w:sz w:val="27"/>
          <w:szCs w:val="27"/>
        </w:rPr>
        <w:fldChar w:fldCharType="separate"/>
      </w:r>
      <w:r w:rsidRPr="00323C91">
        <w:rPr>
          <w:rFonts w:ascii="Arial" w:eastAsia="Times New Roman" w:hAnsi="Arial" w:cs="Arial"/>
          <w:color w:val="A03322"/>
          <w:sz w:val="23"/>
          <w:szCs w:val="23"/>
          <w:u w:val="single"/>
        </w:rPr>
        <w:t>Haselswerdt</w:t>
      </w:r>
      <w:proofErr w:type="spellEnd"/>
      <w:r w:rsidRPr="00323C91">
        <w:rPr>
          <w:rFonts w:ascii="Arial" w:eastAsia="Times New Roman" w:hAnsi="Arial" w:cs="Arial"/>
          <w:color w:val="A03322"/>
          <w:sz w:val="23"/>
          <w:szCs w:val="23"/>
          <w:u w:val="single"/>
        </w:rPr>
        <w:t>, J., &amp; Michener, J. (2019).</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Disenrolled: Retrenchment and voting in health policy</w:t>
      </w:r>
      <w:r w:rsidRPr="00323C91">
        <w:rPr>
          <w:rFonts w:ascii="Arial" w:eastAsia="Times New Roman" w:hAnsi="Arial" w:cs="Arial"/>
          <w:color w:val="A03322"/>
          <w:sz w:val="23"/>
          <w:szCs w:val="23"/>
          <w:u w:val="single"/>
        </w:rPr>
        <w:t>.</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44</w:t>
      </w:r>
      <w:r w:rsidRPr="00323C91">
        <w:rPr>
          <w:rFonts w:ascii="Arial" w:eastAsia="Times New Roman" w:hAnsi="Arial" w:cs="Arial"/>
          <w:color w:val="A03322"/>
          <w:sz w:val="23"/>
          <w:szCs w:val="23"/>
          <w:u w:val="single"/>
        </w:rPr>
        <w:t>(3), 423-454</w:t>
      </w:r>
      <w:r w:rsidRPr="00323C91">
        <w:rPr>
          <w:rFonts w:ascii="Arial" w:eastAsia="Times New Roman" w:hAnsi="Arial" w:cs="Arial"/>
          <w:color w:val="155965"/>
          <w:sz w:val="27"/>
          <w:szCs w:val="27"/>
        </w:rPr>
        <w:fldChar w:fldCharType="end"/>
      </w:r>
      <w:r w:rsidRPr="00323C91">
        <w:rPr>
          <w:rFonts w:ascii="Arial" w:eastAsia="Times New Roman" w:hAnsi="Arial" w:cs="Arial"/>
          <w:color w:val="155965"/>
          <w:sz w:val="23"/>
          <w:szCs w:val="23"/>
        </w:rPr>
        <w:t>.</w:t>
      </w:r>
      <w:r w:rsidRPr="00323C91">
        <w:rPr>
          <w:rFonts w:ascii="Arial" w:eastAsia="Times New Roman" w:hAnsi="Arial" w:cs="Arial"/>
          <w:color w:val="155965"/>
          <w:sz w:val="27"/>
          <w:szCs w:val="27"/>
        </w:rPr>
        <w:br/>
      </w:r>
      <w:r w:rsidRPr="00323C91">
        <w:rPr>
          <w:rFonts w:ascii="Arial" w:eastAsia="Times New Roman" w:hAnsi="Arial" w:cs="Arial"/>
          <w:color w:val="155965"/>
          <w:sz w:val="27"/>
          <w:szCs w:val="27"/>
        </w:rPr>
        <w:br/>
      </w:r>
      <w:r w:rsidRPr="00323C91">
        <w:rPr>
          <w:rFonts w:ascii="Arial" w:eastAsia="Times New Roman" w:hAnsi="Arial" w:cs="Arial"/>
          <w:color w:val="155965"/>
          <w:sz w:val="23"/>
          <w:szCs w:val="23"/>
        </w:rPr>
        <w:t>15. </w:t>
      </w:r>
      <w:hyperlink r:id="rId14" w:tgtFrame="_blank" w:history="1">
        <w:r w:rsidRPr="00323C91">
          <w:rPr>
            <w:rFonts w:ascii="Arial" w:eastAsia="Times New Roman" w:hAnsi="Arial" w:cs="Arial"/>
            <w:color w:val="A03322"/>
            <w:sz w:val="23"/>
            <w:szCs w:val="23"/>
            <w:u w:val="single"/>
          </w:rPr>
          <w:t>Hinkle, B. (2020). COVID-19: How’s It Changing Elections?</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National Conference of State Legislatures</w:t>
        </w:r>
        <w:r w:rsidRPr="00323C91">
          <w:rPr>
            <w:rFonts w:ascii="Arial" w:eastAsia="Times New Roman" w:hAnsi="Arial" w:cs="Arial"/>
            <w:color w:val="A03322"/>
            <w:sz w:val="23"/>
            <w:szCs w:val="23"/>
            <w:u w:val="single"/>
          </w:rPr>
          <w:t>,</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28</w:t>
        </w:r>
        <w:r w:rsidRPr="00323C91">
          <w:rPr>
            <w:rFonts w:ascii="Arial" w:eastAsia="Times New Roman" w:hAnsi="Arial" w:cs="Arial"/>
            <w:color w:val="A03322"/>
            <w:sz w:val="23"/>
            <w:szCs w:val="23"/>
            <w:u w:val="single"/>
          </w:rPr>
          <w:t>(22)</w:t>
        </w:r>
      </w:hyperlink>
      <w:r w:rsidRPr="00323C91">
        <w:rPr>
          <w:rFonts w:ascii="Arial" w:eastAsia="Times New Roman" w:hAnsi="Arial" w:cs="Arial"/>
          <w:color w:val="155965"/>
          <w:sz w:val="23"/>
          <w:szCs w:val="23"/>
        </w:rPr>
        <w:t>.</w:t>
      </w:r>
      <w:r w:rsidRPr="00323C91">
        <w:rPr>
          <w:rFonts w:ascii="Arial" w:eastAsia="Times New Roman" w:hAnsi="Arial" w:cs="Arial"/>
          <w:color w:val="155965"/>
          <w:sz w:val="27"/>
          <w:szCs w:val="27"/>
        </w:rPr>
        <w:br/>
      </w:r>
      <w:r w:rsidRPr="00323C91">
        <w:rPr>
          <w:rFonts w:ascii="Arial" w:eastAsia="Times New Roman" w:hAnsi="Arial" w:cs="Arial"/>
          <w:color w:val="155965"/>
          <w:sz w:val="27"/>
          <w:szCs w:val="27"/>
        </w:rPr>
        <w:br/>
      </w:r>
      <w:r w:rsidRPr="00323C91">
        <w:rPr>
          <w:rFonts w:ascii="Arial" w:eastAsia="Times New Roman" w:hAnsi="Arial" w:cs="Arial"/>
          <w:color w:val="155965"/>
          <w:sz w:val="23"/>
          <w:szCs w:val="23"/>
        </w:rPr>
        <w:t>16. </w:t>
      </w:r>
      <w:hyperlink r:id="rId15" w:tgtFrame="_blank" w:history="1">
        <w:r w:rsidRPr="00323C91">
          <w:rPr>
            <w:rFonts w:ascii="Arial" w:eastAsia="Times New Roman" w:hAnsi="Arial" w:cs="Arial"/>
            <w:color w:val="A03322"/>
            <w:sz w:val="23"/>
            <w:szCs w:val="23"/>
            <w:u w:val="single"/>
          </w:rPr>
          <w:t>Carnegie Corporation. (2019).</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11 Barriers to Voting</w:t>
        </w:r>
        <w:r w:rsidRPr="00323C91">
          <w:rPr>
            <w:rFonts w:ascii="Arial" w:eastAsia="Times New Roman" w:hAnsi="Arial" w:cs="Arial"/>
            <w:color w:val="A03322"/>
            <w:sz w:val="23"/>
            <w:szCs w:val="23"/>
            <w:u w:val="single"/>
          </w:rPr>
          <w:t>. Carnegie Corporation of New York</w:t>
        </w:r>
      </w:hyperlink>
      <w:r w:rsidRPr="00323C91">
        <w:rPr>
          <w:rFonts w:ascii="Arial" w:eastAsia="Times New Roman" w:hAnsi="Arial" w:cs="Arial"/>
          <w:color w:val="155965"/>
          <w:sz w:val="23"/>
          <w:szCs w:val="23"/>
        </w:rPr>
        <w:t>.</w:t>
      </w:r>
      <w:r w:rsidRPr="00323C91">
        <w:rPr>
          <w:rFonts w:ascii="Arial" w:eastAsia="Times New Roman" w:hAnsi="Arial" w:cs="Arial"/>
          <w:color w:val="155965"/>
          <w:sz w:val="27"/>
          <w:szCs w:val="27"/>
        </w:rPr>
        <w:br/>
      </w:r>
      <w:r w:rsidRPr="00323C91">
        <w:rPr>
          <w:rFonts w:ascii="Arial" w:eastAsia="Times New Roman" w:hAnsi="Arial" w:cs="Arial"/>
          <w:color w:val="155965"/>
          <w:sz w:val="27"/>
          <w:szCs w:val="27"/>
        </w:rPr>
        <w:br/>
      </w:r>
      <w:r w:rsidRPr="00323C91">
        <w:rPr>
          <w:rFonts w:ascii="Arial" w:eastAsia="Times New Roman" w:hAnsi="Arial" w:cs="Arial"/>
          <w:color w:val="155965"/>
          <w:sz w:val="23"/>
          <w:szCs w:val="23"/>
        </w:rPr>
        <w:t>17. </w:t>
      </w:r>
      <w:hyperlink r:id="rId16" w:tgtFrame="_blank" w:history="1">
        <w:r w:rsidRPr="00323C91">
          <w:rPr>
            <w:rFonts w:ascii="Arial" w:eastAsia="Times New Roman" w:hAnsi="Arial" w:cs="Arial"/>
            <w:color w:val="A03322"/>
            <w:sz w:val="23"/>
            <w:szCs w:val="23"/>
            <w:u w:val="single"/>
          </w:rPr>
          <w:t xml:space="preserve">Barth, S., &amp; </w:t>
        </w:r>
        <w:proofErr w:type="spellStart"/>
        <w:r w:rsidRPr="00323C91">
          <w:rPr>
            <w:rFonts w:ascii="Arial" w:eastAsia="Times New Roman" w:hAnsi="Arial" w:cs="Arial"/>
            <w:color w:val="A03322"/>
            <w:sz w:val="23"/>
            <w:szCs w:val="23"/>
            <w:u w:val="single"/>
          </w:rPr>
          <w:t>Ensslin</w:t>
        </w:r>
        <w:proofErr w:type="spellEnd"/>
        <w:r w:rsidRPr="00323C91">
          <w:rPr>
            <w:rFonts w:ascii="Arial" w:eastAsia="Times New Roman" w:hAnsi="Arial" w:cs="Arial"/>
            <w:color w:val="A03322"/>
            <w:sz w:val="23"/>
            <w:szCs w:val="23"/>
            <w:u w:val="single"/>
          </w:rPr>
          <w:t>, B. (2014).</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Contacting Hard-to-Locate Medicare and</w:t>
        </w:r>
        <w:r w:rsidRPr="00323C91">
          <w:rPr>
            <w:rFonts w:ascii="Arial" w:eastAsia="Times New Roman" w:hAnsi="Arial" w:cs="Arial"/>
            <w:color w:val="A03322"/>
            <w:sz w:val="27"/>
            <w:szCs w:val="27"/>
            <w:u w:val="single"/>
          </w:rPr>
          <w:t> </w:t>
        </w:r>
        <w:r w:rsidRPr="00323C91">
          <w:rPr>
            <w:rFonts w:ascii="Arial" w:eastAsia="Times New Roman" w:hAnsi="Arial" w:cs="Arial"/>
            <w:color w:val="A03322"/>
            <w:sz w:val="23"/>
            <w:szCs w:val="23"/>
            <w:u w:val="single"/>
          </w:rPr>
          <w:t>Medicaid</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Members: Tips for Health Plans</w:t>
        </w:r>
      </w:hyperlink>
      <w:r w:rsidRPr="00323C91">
        <w:rPr>
          <w:rFonts w:ascii="Arial" w:eastAsia="Times New Roman" w:hAnsi="Arial" w:cs="Arial"/>
          <w:color w:val="155965"/>
          <w:sz w:val="23"/>
          <w:szCs w:val="23"/>
        </w:rPr>
        <w:t>.</w:t>
      </w:r>
      <w:r w:rsidRPr="00323C91">
        <w:rPr>
          <w:rFonts w:ascii="Arial" w:eastAsia="Times New Roman" w:hAnsi="Arial" w:cs="Arial"/>
          <w:color w:val="155965"/>
          <w:sz w:val="27"/>
          <w:szCs w:val="27"/>
        </w:rPr>
        <w:br/>
      </w:r>
      <w:r w:rsidRPr="00323C91">
        <w:rPr>
          <w:rFonts w:ascii="Arial" w:eastAsia="Times New Roman" w:hAnsi="Arial" w:cs="Arial"/>
          <w:color w:val="155965"/>
          <w:sz w:val="27"/>
          <w:szCs w:val="27"/>
        </w:rPr>
        <w:br/>
      </w:r>
      <w:r w:rsidRPr="00323C91">
        <w:rPr>
          <w:rFonts w:ascii="Arial" w:eastAsia="Times New Roman" w:hAnsi="Arial" w:cs="Arial"/>
          <w:color w:val="155965"/>
          <w:sz w:val="23"/>
          <w:szCs w:val="23"/>
        </w:rPr>
        <w:t>18. </w:t>
      </w:r>
      <w:hyperlink r:id="rId17" w:tgtFrame="_blank" w:history="1">
        <w:r w:rsidRPr="00323C91">
          <w:rPr>
            <w:rFonts w:ascii="Arial" w:eastAsia="Times New Roman" w:hAnsi="Arial" w:cs="Arial"/>
            <w:color w:val="A03322"/>
            <w:sz w:val="23"/>
            <w:szCs w:val="23"/>
            <w:u w:val="single"/>
          </w:rPr>
          <w:t>Shelly, J., &amp; Forbes, M. (2013).</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Language Challenges and Voting</w:t>
        </w:r>
      </w:hyperlink>
      <w:r w:rsidRPr="00323C91">
        <w:rPr>
          <w:rFonts w:ascii="Arial" w:eastAsia="Times New Roman" w:hAnsi="Arial" w:cs="Arial"/>
          <w:color w:val="155965"/>
          <w:sz w:val="23"/>
          <w:szCs w:val="23"/>
        </w:rPr>
        <w:t>.</w:t>
      </w:r>
    </w:p>
    <w:p w14:paraId="51B04C6B" w14:textId="77777777" w:rsidR="00323C91" w:rsidRPr="00323C91" w:rsidRDefault="00323C91" w:rsidP="00323C91">
      <w:pPr>
        <w:spacing w:before="100" w:beforeAutospacing="1" w:after="100" w:afterAutospacing="1"/>
        <w:rPr>
          <w:rFonts w:ascii="Ubuntu" w:eastAsia="Times New Roman" w:hAnsi="Ubuntu" w:cs="Times New Roman"/>
          <w:color w:val="155965"/>
          <w:sz w:val="27"/>
          <w:szCs w:val="27"/>
        </w:rPr>
      </w:pPr>
      <w:r w:rsidRPr="00323C91">
        <w:rPr>
          <w:rFonts w:ascii="Arial" w:eastAsia="Times New Roman" w:hAnsi="Arial" w:cs="Arial"/>
          <w:color w:val="155965"/>
          <w:sz w:val="23"/>
          <w:szCs w:val="23"/>
        </w:rPr>
        <w:t>19. </w:t>
      </w:r>
      <w:proofErr w:type="spellStart"/>
      <w:r w:rsidRPr="00323C91">
        <w:rPr>
          <w:rFonts w:ascii="Arial" w:eastAsia="Times New Roman" w:hAnsi="Arial" w:cs="Arial"/>
          <w:color w:val="155965"/>
          <w:sz w:val="27"/>
          <w:szCs w:val="27"/>
        </w:rPr>
        <w:fldChar w:fldCharType="begin"/>
      </w:r>
      <w:r w:rsidRPr="00323C91">
        <w:rPr>
          <w:rFonts w:ascii="Arial" w:eastAsia="Times New Roman" w:hAnsi="Arial" w:cs="Arial"/>
          <w:color w:val="155965"/>
          <w:sz w:val="27"/>
          <w:szCs w:val="27"/>
        </w:rPr>
        <w:instrText xml:space="preserve"> HYPERLINK "https://web.mit.edu/supportthevoter/www/files/2013/06/FOCE.12-DRC-Barriers-and-Best-Processes-Voters-with-Disabilities.pdf" \t "_blank" </w:instrText>
      </w:r>
      <w:r w:rsidRPr="00323C91">
        <w:rPr>
          <w:rFonts w:ascii="Arial" w:eastAsia="Times New Roman" w:hAnsi="Arial" w:cs="Arial"/>
          <w:color w:val="155965"/>
          <w:sz w:val="27"/>
          <w:szCs w:val="27"/>
        </w:rPr>
        <w:fldChar w:fldCharType="separate"/>
      </w:r>
      <w:r w:rsidRPr="00323C91">
        <w:rPr>
          <w:rFonts w:ascii="Arial" w:eastAsia="Times New Roman" w:hAnsi="Arial" w:cs="Arial"/>
          <w:color w:val="A03322"/>
          <w:sz w:val="23"/>
          <w:szCs w:val="23"/>
          <w:u w:val="single"/>
        </w:rPr>
        <w:t>Sklar</w:t>
      </w:r>
      <w:proofErr w:type="spellEnd"/>
      <w:r w:rsidRPr="00323C91">
        <w:rPr>
          <w:rFonts w:ascii="Arial" w:eastAsia="Times New Roman" w:hAnsi="Arial" w:cs="Arial"/>
          <w:color w:val="A03322"/>
          <w:sz w:val="23"/>
          <w:szCs w:val="23"/>
          <w:u w:val="single"/>
        </w:rPr>
        <w:t xml:space="preserve">, H., &amp; </w:t>
      </w:r>
      <w:proofErr w:type="spellStart"/>
      <w:r w:rsidRPr="00323C91">
        <w:rPr>
          <w:rFonts w:ascii="Arial" w:eastAsia="Times New Roman" w:hAnsi="Arial" w:cs="Arial"/>
          <w:color w:val="A03322"/>
          <w:sz w:val="23"/>
          <w:szCs w:val="23"/>
          <w:u w:val="single"/>
        </w:rPr>
        <w:t>Nisen</w:t>
      </w:r>
      <w:proofErr w:type="spellEnd"/>
      <w:r w:rsidRPr="00323C91">
        <w:rPr>
          <w:rFonts w:ascii="Arial" w:eastAsia="Times New Roman" w:hAnsi="Arial" w:cs="Arial"/>
          <w:color w:val="A03322"/>
          <w:sz w:val="23"/>
          <w:szCs w:val="23"/>
          <w:u w:val="single"/>
        </w:rPr>
        <w:t>, F. (2013). </w:t>
      </w:r>
      <w:r w:rsidRPr="00323C91">
        <w:rPr>
          <w:rFonts w:ascii="Arial" w:eastAsia="Times New Roman" w:hAnsi="Arial" w:cs="Arial"/>
          <w:i/>
          <w:iCs/>
          <w:color w:val="A03322"/>
          <w:sz w:val="23"/>
          <w:szCs w:val="23"/>
        </w:rPr>
        <w:t>Best Processes to Reduce and Eliminate Accessibility Barriers for Voters with Disabilities</w:t>
      </w:r>
      <w:r w:rsidRPr="00323C91">
        <w:rPr>
          <w:rFonts w:ascii="Arial" w:eastAsia="Times New Roman" w:hAnsi="Arial" w:cs="Arial"/>
          <w:color w:val="155965"/>
          <w:sz w:val="27"/>
          <w:szCs w:val="27"/>
        </w:rPr>
        <w:fldChar w:fldCharType="end"/>
      </w:r>
      <w:r w:rsidRPr="00323C91">
        <w:rPr>
          <w:rFonts w:ascii="Arial" w:eastAsia="Times New Roman" w:hAnsi="Arial" w:cs="Arial"/>
          <w:color w:val="155965"/>
          <w:sz w:val="23"/>
          <w:szCs w:val="23"/>
        </w:rPr>
        <w:t>.</w:t>
      </w:r>
    </w:p>
    <w:p w14:paraId="73708A52" w14:textId="77777777" w:rsidR="00323C91" w:rsidRPr="00323C91" w:rsidRDefault="00323C91" w:rsidP="00323C91">
      <w:pPr>
        <w:rPr>
          <w:rFonts w:ascii="Times New Roman" w:eastAsia="Times New Roman" w:hAnsi="Times New Roman" w:cs="Times New Roman"/>
        </w:rPr>
      </w:pPr>
      <w:r w:rsidRPr="00323C91">
        <w:rPr>
          <w:rFonts w:ascii="Arial" w:eastAsia="Times New Roman" w:hAnsi="Arial" w:cs="Arial"/>
          <w:color w:val="155965"/>
          <w:sz w:val="23"/>
          <w:szCs w:val="23"/>
        </w:rPr>
        <w:t>20. </w:t>
      </w:r>
      <w:hyperlink r:id="rId18" w:tgtFrame="_blank" w:history="1">
        <w:r w:rsidRPr="00323C91">
          <w:rPr>
            <w:rFonts w:ascii="Arial" w:eastAsia="Times New Roman" w:hAnsi="Arial" w:cs="Arial"/>
            <w:color w:val="A03322"/>
            <w:sz w:val="23"/>
            <w:szCs w:val="23"/>
            <w:u w:val="single"/>
          </w:rPr>
          <w:t>Lyon, G. (2021). The conditional effects of health on voter turnout.</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 xml:space="preserve">Journal of Health Politics, </w:t>
        </w:r>
        <w:proofErr w:type="gramStart"/>
        <w:r w:rsidRPr="00323C91">
          <w:rPr>
            <w:rFonts w:ascii="Arial" w:eastAsia="Times New Roman" w:hAnsi="Arial" w:cs="Arial"/>
            <w:i/>
            <w:iCs/>
            <w:color w:val="A03322"/>
            <w:sz w:val="23"/>
            <w:szCs w:val="23"/>
          </w:rPr>
          <w:t>Policy</w:t>
        </w:r>
        <w:proofErr w:type="gramEnd"/>
        <w:r w:rsidRPr="00323C91">
          <w:rPr>
            <w:rFonts w:ascii="Arial" w:eastAsia="Times New Roman" w:hAnsi="Arial" w:cs="Arial"/>
            <w:i/>
            <w:iCs/>
            <w:color w:val="A03322"/>
            <w:sz w:val="23"/>
            <w:szCs w:val="23"/>
          </w:rPr>
          <w:t xml:space="preserve"> and Law</w:t>
        </w:r>
        <w:r w:rsidRPr="00323C91">
          <w:rPr>
            <w:rFonts w:ascii="Arial" w:eastAsia="Times New Roman" w:hAnsi="Arial" w:cs="Arial"/>
            <w:color w:val="A03322"/>
            <w:sz w:val="23"/>
            <w:szCs w:val="23"/>
            <w:u w:val="single"/>
          </w:rPr>
          <w:t>,</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46</w:t>
        </w:r>
        <w:r w:rsidRPr="00323C91">
          <w:rPr>
            <w:rFonts w:ascii="Arial" w:eastAsia="Times New Roman" w:hAnsi="Arial" w:cs="Arial"/>
            <w:color w:val="A03322"/>
            <w:sz w:val="23"/>
            <w:szCs w:val="23"/>
            <w:u w:val="single"/>
          </w:rPr>
          <w:t>(3), 409–433</w:t>
        </w:r>
      </w:hyperlink>
      <w:r w:rsidRPr="00323C91">
        <w:rPr>
          <w:rFonts w:ascii="Arial" w:eastAsia="Times New Roman" w:hAnsi="Arial" w:cs="Arial"/>
          <w:color w:val="155965"/>
          <w:sz w:val="27"/>
          <w:szCs w:val="27"/>
        </w:rPr>
        <w:t>.</w:t>
      </w:r>
    </w:p>
    <w:p w14:paraId="3F7769BE" w14:textId="77777777" w:rsidR="00323C91" w:rsidRPr="00323C91" w:rsidRDefault="00323C91" w:rsidP="00323C91">
      <w:pPr>
        <w:spacing w:before="100" w:beforeAutospacing="1" w:after="100" w:afterAutospacing="1"/>
        <w:rPr>
          <w:rFonts w:ascii="Ubuntu" w:eastAsia="Times New Roman" w:hAnsi="Ubuntu" w:cs="Times New Roman"/>
          <w:color w:val="155965"/>
          <w:sz w:val="27"/>
          <w:szCs w:val="27"/>
        </w:rPr>
      </w:pPr>
      <w:r w:rsidRPr="00323C91">
        <w:rPr>
          <w:rFonts w:ascii="Arial" w:eastAsia="Times New Roman" w:hAnsi="Arial" w:cs="Arial"/>
          <w:color w:val="155965"/>
          <w:sz w:val="27"/>
          <w:szCs w:val="27"/>
        </w:rPr>
        <w:t>21. </w:t>
      </w:r>
      <w:hyperlink r:id="rId19" w:tgtFrame="_blank" w:history="1">
        <w:r w:rsidRPr="00323C91">
          <w:rPr>
            <w:rFonts w:ascii="Arial" w:eastAsia="Times New Roman" w:hAnsi="Arial" w:cs="Arial"/>
            <w:color w:val="A03322"/>
            <w:sz w:val="23"/>
            <w:szCs w:val="23"/>
            <w:u w:val="single"/>
          </w:rPr>
          <w:t xml:space="preserve">Panetta, G. (2020). </w:t>
        </w:r>
        <w:proofErr w:type="gramStart"/>
        <w:r w:rsidRPr="00323C91">
          <w:rPr>
            <w:rFonts w:ascii="Arial" w:eastAsia="Times New Roman" w:hAnsi="Arial" w:cs="Arial"/>
            <w:color w:val="A03322"/>
            <w:sz w:val="23"/>
            <w:szCs w:val="23"/>
            <w:u w:val="single"/>
          </w:rPr>
          <w:t>How</w:t>
        </w:r>
        <w:proofErr w:type="gramEnd"/>
        <w:r w:rsidRPr="00323C91">
          <w:rPr>
            <w:rFonts w:ascii="Arial" w:eastAsia="Times New Roman" w:hAnsi="Arial" w:cs="Arial"/>
            <w:color w:val="A03322"/>
            <w:sz w:val="23"/>
            <w:szCs w:val="23"/>
            <w:u w:val="single"/>
          </w:rPr>
          <w:t xml:space="preserve"> Black Americans still face disproportionate barriers to the ballot box in 2020.</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Insider</w:t>
        </w:r>
      </w:hyperlink>
      <w:r w:rsidRPr="00323C91">
        <w:rPr>
          <w:rFonts w:ascii="Arial" w:eastAsia="Times New Roman" w:hAnsi="Arial" w:cs="Arial"/>
          <w:color w:val="155965"/>
          <w:sz w:val="27"/>
          <w:szCs w:val="27"/>
        </w:rPr>
        <w:t>.</w:t>
      </w:r>
    </w:p>
    <w:p w14:paraId="632084E6" w14:textId="77777777" w:rsidR="00323C91" w:rsidRPr="00323C91" w:rsidRDefault="00323C91" w:rsidP="00323C91">
      <w:pPr>
        <w:rPr>
          <w:rFonts w:ascii="Times New Roman" w:eastAsia="Times New Roman" w:hAnsi="Times New Roman" w:cs="Times New Roman"/>
        </w:rPr>
      </w:pPr>
      <w:r w:rsidRPr="00323C91">
        <w:rPr>
          <w:rFonts w:ascii="Arial" w:eastAsia="Times New Roman" w:hAnsi="Arial" w:cs="Arial"/>
          <w:color w:val="155965"/>
          <w:sz w:val="27"/>
          <w:szCs w:val="27"/>
        </w:rPr>
        <w:t>22. </w:t>
      </w:r>
      <w:hyperlink r:id="rId20" w:tgtFrame="_blank" w:history="1">
        <w:r w:rsidRPr="00323C91">
          <w:rPr>
            <w:rFonts w:ascii="Arial" w:eastAsia="Times New Roman" w:hAnsi="Arial" w:cs="Arial"/>
            <w:color w:val="A03322"/>
            <w:sz w:val="23"/>
            <w:szCs w:val="23"/>
            <w:u w:val="single"/>
          </w:rPr>
          <w:t>Newkirk, V.  (2018)</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Voter Suppression Is Warping Democracy.</w:t>
        </w:r>
        <w:r w:rsidRPr="00323C91">
          <w:rPr>
            <w:rFonts w:ascii="Arial" w:eastAsia="Times New Roman" w:hAnsi="Arial" w:cs="Arial"/>
            <w:color w:val="A03322"/>
            <w:sz w:val="27"/>
            <w:szCs w:val="27"/>
            <w:u w:val="single"/>
          </w:rPr>
          <w:t> </w:t>
        </w:r>
        <w:r w:rsidRPr="00323C91">
          <w:rPr>
            <w:rFonts w:ascii="Arial" w:eastAsia="Times New Roman" w:hAnsi="Arial" w:cs="Arial"/>
            <w:color w:val="A03322"/>
            <w:sz w:val="23"/>
            <w:szCs w:val="23"/>
            <w:u w:val="single"/>
          </w:rPr>
          <w:t>The Atlantic</w:t>
        </w:r>
      </w:hyperlink>
      <w:r w:rsidRPr="00323C91">
        <w:rPr>
          <w:rFonts w:ascii="Arial" w:eastAsia="Times New Roman" w:hAnsi="Arial" w:cs="Arial"/>
          <w:color w:val="155965"/>
          <w:sz w:val="23"/>
          <w:szCs w:val="23"/>
        </w:rPr>
        <w:t>.</w:t>
      </w:r>
      <w:r w:rsidRPr="00323C91">
        <w:rPr>
          <w:rFonts w:ascii="Arial" w:eastAsia="Times New Roman" w:hAnsi="Arial" w:cs="Arial"/>
          <w:color w:val="155965"/>
          <w:sz w:val="27"/>
          <w:szCs w:val="27"/>
        </w:rPr>
        <w:br/>
      </w:r>
    </w:p>
    <w:p w14:paraId="71975474"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lastRenderedPageBreak/>
        <w:t>23. </w:t>
      </w:r>
      <w:hyperlink r:id="rId21" w:tgtFrame="_blank" w:history="1">
        <w:r w:rsidRPr="00323C91">
          <w:rPr>
            <w:rFonts w:ascii="Arial" w:eastAsia="Times New Roman" w:hAnsi="Arial" w:cs="Arial"/>
            <w:color w:val="A03322"/>
            <w:sz w:val="23"/>
            <w:szCs w:val="23"/>
            <w:u w:val="single"/>
          </w:rPr>
          <w:t>Native American Rights Fund. Vote by mail in Native American communities</w:t>
        </w:r>
      </w:hyperlink>
      <w:r w:rsidRPr="00323C91">
        <w:rPr>
          <w:rFonts w:ascii="Arial" w:eastAsia="Times New Roman" w:hAnsi="Arial" w:cs="Arial"/>
          <w:color w:val="155965"/>
          <w:sz w:val="23"/>
          <w:szCs w:val="23"/>
        </w:rPr>
        <w:t>. Accessed January 7, 2022.</w:t>
      </w:r>
    </w:p>
    <w:p w14:paraId="558FCB5E"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24. </w:t>
      </w:r>
      <w:hyperlink r:id="rId22" w:tgtFrame="_blank" w:history="1">
        <w:r w:rsidRPr="00323C91">
          <w:rPr>
            <w:rFonts w:ascii="Arial" w:eastAsia="Times New Roman" w:hAnsi="Arial" w:cs="Arial"/>
            <w:color w:val="A03322"/>
            <w:sz w:val="23"/>
            <w:szCs w:val="23"/>
            <w:u w:val="single"/>
          </w:rPr>
          <w:t>Healthy Democracy, Healthy People (2022)</w:t>
        </w:r>
      </w:hyperlink>
    </w:p>
    <w:p w14:paraId="0879BE47"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25. </w:t>
      </w:r>
      <w:hyperlink r:id="rId23" w:tgtFrame="_blank" w:history="1">
        <w:r w:rsidRPr="00323C91">
          <w:rPr>
            <w:rFonts w:ascii="Arial" w:eastAsia="Times New Roman" w:hAnsi="Arial" w:cs="Arial"/>
            <w:color w:val="A03322"/>
            <w:sz w:val="23"/>
            <w:szCs w:val="23"/>
            <w:u w:val="single"/>
          </w:rPr>
          <w:t>Minnesota Statute201.162 (2021)</w:t>
        </w:r>
      </w:hyperlink>
    </w:p>
    <w:p w14:paraId="41855733"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26. </w:t>
      </w:r>
      <w:hyperlink r:id="rId24" w:tgtFrame="_blank" w:history="1">
        <w:r w:rsidRPr="00323C91">
          <w:rPr>
            <w:rFonts w:ascii="Arial" w:eastAsia="Times New Roman" w:hAnsi="Arial" w:cs="Arial"/>
            <w:color w:val="A03322"/>
            <w:sz w:val="23"/>
            <w:szCs w:val="23"/>
            <w:u w:val="single"/>
          </w:rPr>
          <w:t>Michener, J. D. (2017). People, places, power: Medicaid concentration and local political participation.</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 xml:space="preserve">Journal of Health Politics, </w:t>
        </w:r>
        <w:proofErr w:type="gramStart"/>
        <w:r w:rsidRPr="00323C91">
          <w:rPr>
            <w:rFonts w:ascii="Arial" w:eastAsia="Times New Roman" w:hAnsi="Arial" w:cs="Arial"/>
            <w:i/>
            <w:iCs/>
            <w:color w:val="A03322"/>
            <w:sz w:val="23"/>
            <w:szCs w:val="23"/>
          </w:rPr>
          <w:t>Policy</w:t>
        </w:r>
        <w:proofErr w:type="gramEnd"/>
        <w:r w:rsidRPr="00323C91">
          <w:rPr>
            <w:rFonts w:ascii="Arial" w:eastAsia="Times New Roman" w:hAnsi="Arial" w:cs="Arial"/>
            <w:i/>
            <w:iCs/>
            <w:color w:val="A03322"/>
            <w:sz w:val="23"/>
            <w:szCs w:val="23"/>
          </w:rPr>
          <w:t xml:space="preserve"> and Law</w:t>
        </w:r>
        <w:r w:rsidRPr="00323C91">
          <w:rPr>
            <w:rFonts w:ascii="Arial" w:eastAsia="Times New Roman" w:hAnsi="Arial" w:cs="Arial"/>
            <w:color w:val="A03322"/>
            <w:sz w:val="23"/>
            <w:szCs w:val="23"/>
            <w:u w:val="single"/>
          </w:rPr>
          <w:t>,</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42</w:t>
        </w:r>
        <w:r w:rsidRPr="00323C91">
          <w:rPr>
            <w:rFonts w:ascii="Arial" w:eastAsia="Times New Roman" w:hAnsi="Arial" w:cs="Arial"/>
            <w:color w:val="A03322"/>
            <w:sz w:val="23"/>
            <w:szCs w:val="23"/>
            <w:u w:val="single"/>
          </w:rPr>
          <w:t>(5), 865–900</w:t>
        </w:r>
      </w:hyperlink>
      <w:r w:rsidRPr="00323C91">
        <w:rPr>
          <w:rFonts w:ascii="Arial" w:eastAsia="Times New Roman" w:hAnsi="Arial" w:cs="Arial"/>
          <w:color w:val="155965"/>
          <w:sz w:val="23"/>
          <w:szCs w:val="23"/>
        </w:rPr>
        <w:t>.</w:t>
      </w:r>
    </w:p>
    <w:p w14:paraId="336F1C37"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27. </w:t>
      </w:r>
      <w:hyperlink r:id="rId25" w:tgtFrame="_blank" w:history="1">
        <w:r w:rsidRPr="00323C91">
          <w:rPr>
            <w:rFonts w:ascii="Arial" w:eastAsia="Times New Roman" w:hAnsi="Arial" w:cs="Arial"/>
            <w:color w:val="A03322"/>
            <w:sz w:val="23"/>
            <w:szCs w:val="23"/>
            <w:u w:val="single"/>
          </w:rPr>
          <w:t>Healthy People 2020. (2021).</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Civic Participation</w:t>
        </w:r>
      </w:hyperlink>
      <w:r w:rsidRPr="00323C91">
        <w:rPr>
          <w:rFonts w:ascii="Arial" w:eastAsia="Times New Roman" w:hAnsi="Arial" w:cs="Arial"/>
          <w:color w:val="155965"/>
          <w:sz w:val="23"/>
          <w:szCs w:val="23"/>
        </w:rPr>
        <w:t>.</w:t>
      </w:r>
    </w:p>
    <w:p w14:paraId="489A37E8"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rPr>
        <w:t>28. </w:t>
      </w:r>
      <w:hyperlink r:id="rId26" w:tgtFrame="_blank" w:history="1">
        <w:r w:rsidRPr="00323C91">
          <w:rPr>
            <w:rFonts w:ascii="Arial" w:eastAsia="Times New Roman" w:hAnsi="Arial" w:cs="Arial"/>
            <w:color w:val="A03322"/>
            <w:sz w:val="23"/>
            <w:szCs w:val="23"/>
            <w:u w:val="single"/>
          </w:rPr>
          <w:t>National Academies of Sciences, Engineering, and Medicine. (2020).</w:t>
        </w:r>
        <w:r w:rsidRPr="00323C91">
          <w:rPr>
            <w:rFonts w:ascii="Arial" w:eastAsia="Times New Roman" w:hAnsi="Arial" w:cs="Arial"/>
            <w:color w:val="A03322"/>
            <w:sz w:val="27"/>
            <w:szCs w:val="27"/>
            <w:u w:val="single"/>
          </w:rPr>
          <w:t> </w:t>
        </w:r>
        <w:r w:rsidRPr="00323C91">
          <w:rPr>
            <w:rFonts w:ascii="Arial" w:eastAsia="Times New Roman" w:hAnsi="Arial" w:cs="Arial"/>
            <w:i/>
            <w:iCs/>
            <w:color w:val="A03322"/>
            <w:sz w:val="23"/>
            <w:szCs w:val="23"/>
          </w:rPr>
          <w:t>Leading Health Indicators 2030: Advancing Health, Equity, and Well-Being</w:t>
        </w:r>
        <w:r w:rsidRPr="00323C91">
          <w:rPr>
            <w:rFonts w:ascii="Arial" w:eastAsia="Times New Roman" w:hAnsi="Arial" w:cs="Arial"/>
            <w:color w:val="A03322"/>
            <w:sz w:val="23"/>
            <w:szCs w:val="23"/>
            <w:u w:val="single"/>
          </w:rPr>
          <w:t>. The National Academies Press</w:t>
        </w:r>
      </w:hyperlink>
      <w:r w:rsidRPr="00323C91">
        <w:rPr>
          <w:rFonts w:ascii="Arial" w:eastAsia="Times New Roman" w:hAnsi="Arial" w:cs="Arial"/>
          <w:color w:val="155965"/>
          <w:sz w:val="23"/>
          <w:szCs w:val="23"/>
        </w:rPr>
        <w:t>.</w:t>
      </w:r>
      <w:r w:rsidRPr="00323C91">
        <w:rPr>
          <w:rFonts w:ascii="Arial" w:eastAsia="Times New Roman" w:hAnsi="Arial" w:cs="Arial"/>
          <w:color w:val="155965"/>
          <w:sz w:val="27"/>
          <w:szCs w:val="27"/>
        </w:rPr>
        <w:t> </w:t>
      </w:r>
    </w:p>
    <w:p w14:paraId="5F5F9586" w14:textId="77777777" w:rsidR="00323C91" w:rsidRPr="00323C91" w:rsidRDefault="00323C91" w:rsidP="00323C91">
      <w:pPr>
        <w:spacing w:before="100" w:beforeAutospacing="1" w:after="100" w:afterAutospacing="1" w:line="285" w:lineRule="atLeast"/>
        <w:rPr>
          <w:rFonts w:ascii="Ubuntu" w:eastAsia="Times New Roman" w:hAnsi="Ubuntu" w:cs="Times New Roman"/>
          <w:color w:val="155965"/>
          <w:sz w:val="27"/>
          <w:szCs w:val="27"/>
        </w:rPr>
      </w:pPr>
      <w:r w:rsidRPr="00323C91">
        <w:rPr>
          <w:rFonts w:ascii="Arial" w:eastAsia="Times New Roman" w:hAnsi="Arial" w:cs="Arial"/>
          <w:color w:val="155965"/>
          <w:sz w:val="23"/>
          <w:szCs w:val="23"/>
          <w:shd w:val="clear" w:color="auto" w:fill="FFFFFF"/>
        </w:rPr>
        <w:t>29. </w:t>
      </w:r>
      <w:hyperlink r:id="rId27" w:tgtFrame="_blank" w:history="1">
        <w:r w:rsidRPr="00323C91">
          <w:rPr>
            <w:rFonts w:ascii="Arial" w:eastAsia="Times New Roman" w:hAnsi="Arial" w:cs="Arial"/>
            <w:color w:val="A03322"/>
            <w:sz w:val="23"/>
            <w:szCs w:val="23"/>
            <w:u w:val="single"/>
            <w:shd w:val="clear" w:color="auto" w:fill="FFFFFF"/>
          </w:rPr>
          <w:t>American Association of People with Disabilities (AAPD)</w:t>
        </w:r>
      </w:hyperlink>
      <w:r w:rsidRPr="00323C91">
        <w:rPr>
          <w:rFonts w:ascii="Arial" w:eastAsia="Times New Roman" w:hAnsi="Arial" w:cs="Arial"/>
          <w:color w:val="155965"/>
          <w:sz w:val="23"/>
          <w:szCs w:val="23"/>
          <w:shd w:val="clear" w:color="auto" w:fill="FFFFFF"/>
        </w:rPr>
        <w:t>.</w:t>
      </w:r>
    </w:p>
    <w:p w14:paraId="2E9DF531" w14:textId="70F81223" w:rsidR="00E60475" w:rsidRDefault="00323C91" w:rsidP="00323C91">
      <w:r w:rsidRPr="00323C91">
        <w:rPr>
          <w:rFonts w:ascii="Times New Roman" w:eastAsia="Times New Roman" w:hAnsi="Times New Roman" w:cs="Times New Roman"/>
        </w:rPr>
        <w:t> </w:t>
      </w:r>
    </w:p>
    <w:sectPr w:rsidR="00E60475" w:rsidSect="004E4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60402020202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91"/>
    <w:rsid w:val="00100F97"/>
    <w:rsid w:val="002C330D"/>
    <w:rsid w:val="00323C91"/>
    <w:rsid w:val="003B2241"/>
    <w:rsid w:val="004E4D4F"/>
    <w:rsid w:val="005A7929"/>
    <w:rsid w:val="006B3714"/>
    <w:rsid w:val="006F00E1"/>
    <w:rsid w:val="00791E41"/>
    <w:rsid w:val="00B3407B"/>
    <w:rsid w:val="00B638AF"/>
    <w:rsid w:val="00C95C08"/>
    <w:rsid w:val="00D0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0F1B4"/>
  <w14:defaultImageDpi w14:val="32767"/>
  <w15:chartTrackingRefBased/>
  <w15:docId w15:val="{750BCA17-BBC4-784A-9AE0-7C6AD341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C9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23C91"/>
    <w:rPr>
      <w:i/>
      <w:iCs/>
    </w:rPr>
  </w:style>
  <w:style w:type="character" w:styleId="Hyperlink">
    <w:name w:val="Hyperlink"/>
    <w:basedOn w:val="DefaultParagraphFont"/>
    <w:uiPriority w:val="99"/>
    <w:semiHidden/>
    <w:unhideWhenUsed/>
    <w:rsid w:val="00323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3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562-019-0543-4" TargetMode="External"/><Relationship Id="rId13" Type="http://schemas.openxmlformats.org/officeDocument/2006/relationships/hyperlink" Target="https://doi.org/10.1016/j.puhe.2021.07.038" TargetMode="External"/><Relationship Id="rId18" Type="http://schemas.openxmlformats.org/officeDocument/2006/relationships/hyperlink" Target="https://doi.org/10.1215/03616878-8893529" TargetMode="External"/><Relationship Id="rId26" Type="http://schemas.openxmlformats.org/officeDocument/2006/relationships/hyperlink" Target="https://doi.org/10.17226/25682" TargetMode="External"/><Relationship Id="rId3" Type="http://schemas.openxmlformats.org/officeDocument/2006/relationships/webSettings" Target="webSettings.xml"/><Relationship Id="rId21" Type="http://schemas.openxmlformats.org/officeDocument/2006/relationships/hyperlink" Target="https://www.narf.org/vote-by-mail/" TargetMode="External"/><Relationship Id="rId7" Type="http://schemas.openxmlformats.org/officeDocument/2006/relationships/hyperlink" Target="https://doi.org/10.1186/s12889-020-08507-w" TargetMode="External"/><Relationship Id="rId12" Type="http://schemas.openxmlformats.org/officeDocument/2006/relationships/hyperlink" Target="https://khn.org/news/article/over-half-of-states-have-rolled-back-public-health-powers-in-pandemic/" TargetMode="External"/><Relationship Id="rId17" Type="http://schemas.openxmlformats.org/officeDocument/2006/relationships/hyperlink" Target="https://www.eac.gov/sites/default/files/document_library/files/Language_Challenges_and_Voting_Forbes_and_Shelly.pdf" TargetMode="External"/><Relationship Id="rId25" Type="http://schemas.openxmlformats.org/officeDocument/2006/relationships/hyperlink" Target="https://www.healthypeople.gov/2020/topics-objectives/topic/social-determinants-health/interventions-resources/civic-participation" TargetMode="External"/><Relationship Id="rId2" Type="http://schemas.openxmlformats.org/officeDocument/2006/relationships/settings" Target="settings.xml"/><Relationship Id="rId16" Type="http://schemas.openxmlformats.org/officeDocument/2006/relationships/hyperlink" Target="https://www.chcs.org/media/PRIDE-Tips-for-Contacting-Hard-to-Locate-Members_121014_2.pdf" TargetMode="External"/><Relationship Id="rId20" Type="http://schemas.openxmlformats.org/officeDocument/2006/relationships/hyperlink" Target="https://www.theatlantic.com/politics/archive/2018/07/poll-prri-voter-suppression/56535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and.org/content/dam/rand/pubs/research_reports/RR3100/RR3163/RAND_RR3163.pdf" TargetMode="External"/><Relationship Id="rId11" Type="http://schemas.openxmlformats.org/officeDocument/2006/relationships/hyperlink" Target="https://doi.org/10.3961/jpmph.14.031" TargetMode="External"/><Relationship Id="rId24" Type="http://schemas.openxmlformats.org/officeDocument/2006/relationships/hyperlink" Target="https://doi.org/10.1215/03616878-3940468" TargetMode="External"/><Relationship Id="rId5" Type="http://schemas.openxmlformats.org/officeDocument/2006/relationships/hyperlink" Target="https://apha.org/-/media/Files/PDF/topics/equity/Healing_Through_Policy_Policy_and_Practice_Briefs.ashx" TargetMode="External"/><Relationship Id="rId15" Type="http://schemas.openxmlformats.org/officeDocument/2006/relationships/hyperlink" Target="https://www.carnegie.org/topics/topic-articles/voting-rights/11-barriers-voting/" TargetMode="External"/><Relationship Id="rId23" Type="http://schemas.openxmlformats.org/officeDocument/2006/relationships/hyperlink" Target="https://www.revisor.mn.gov/statutes/cite/201.162" TargetMode="External"/><Relationship Id="rId28" Type="http://schemas.openxmlformats.org/officeDocument/2006/relationships/fontTable" Target="fontTable.xml"/><Relationship Id="rId10" Type="http://schemas.openxmlformats.org/officeDocument/2006/relationships/hyperlink" Target="https://health.gov/healthypeople/priority-areas/social-determinants-health/literature-summaries/civic-participation" TargetMode="External"/><Relationship Id="rId19" Type="http://schemas.openxmlformats.org/officeDocument/2006/relationships/hyperlink" Target="https://www.businessinsider.com/why-black-americans-still-face-obstacles-to-voting-at-every-step-2020-6" TargetMode="External"/><Relationship Id="rId4" Type="http://schemas.openxmlformats.org/officeDocument/2006/relationships/hyperlink" Target="https://doi.org/10.1016/j.socscimed.2016.06.043" TargetMode="External"/><Relationship Id="rId9" Type="http://schemas.openxmlformats.org/officeDocument/2006/relationships/hyperlink" Target="https://doi.org/10.1017/S0007123417000151" TargetMode="External"/><Relationship Id="rId14" Type="http://schemas.openxmlformats.org/officeDocument/2006/relationships/hyperlink" Target="https://www.ncsl.org/research/elections-and-campaigns/covid-19-how-s-it-changing-elections.aspx" TargetMode="External"/><Relationship Id="rId22" Type="http://schemas.openxmlformats.org/officeDocument/2006/relationships/hyperlink" Target="https://www.healthydemocracyhealthypeople.org/" TargetMode="External"/><Relationship Id="rId27" Type="http://schemas.openxmlformats.org/officeDocument/2006/relationships/hyperlink" Target="https://www.aapd.com/advocacy/policy-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2489</Words>
  <Characters>14193</Characters>
  <Application>Microsoft Office Word</Application>
  <DocSecurity>0</DocSecurity>
  <Lines>118</Lines>
  <Paragraphs>33</Paragraphs>
  <ScaleCrop>false</ScaleCrop>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Grande</dc:creator>
  <cp:keywords/>
  <dc:description/>
  <cp:lastModifiedBy>Andrew Grande</cp:lastModifiedBy>
  <cp:revision>1</cp:revision>
  <dcterms:created xsi:type="dcterms:W3CDTF">2022-09-26T14:47:00Z</dcterms:created>
  <dcterms:modified xsi:type="dcterms:W3CDTF">2022-09-26T14:48:00Z</dcterms:modified>
</cp:coreProperties>
</file>